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0FF77" w14:textId="77777777" w:rsidR="000A6AA4" w:rsidRPr="00DA3B83" w:rsidRDefault="00FF39C5" w:rsidP="000534AB">
      <w:pPr>
        <w:pStyle w:val="Default"/>
        <w:tabs>
          <w:tab w:val="left" w:pos="1080"/>
        </w:tabs>
        <w:jc w:val="center"/>
        <w:rPr>
          <w:rFonts w:ascii="Calibri" w:hAnsi="Calibri" w:cs="Arial"/>
          <w:bCs/>
          <w:sz w:val="32"/>
          <w:szCs w:val="32"/>
        </w:rPr>
      </w:pPr>
      <w:r w:rsidRPr="00DA3B83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2B9465CD" wp14:editId="77123C91">
            <wp:simplePos x="0" y="0"/>
            <wp:positionH relativeFrom="column">
              <wp:posOffset>836295</wp:posOffset>
            </wp:positionH>
            <wp:positionV relativeFrom="paragraph">
              <wp:posOffset>-346075</wp:posOffset>
            </wp:positionV>
            <wp:extent cx="580390" cy="765810"/>
            <wp:effectExtent l="0" t="0" r="0" b="0"/>
            <wp:wrapNone/>
            <wp:docPr id="6" name="Picture 6" descr="Logo_Final_graphiconly_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Final_graphiconly_gr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CED" w:rsidRPr="00DA3B83">
        <w:rPr>
          <w:rFonts w:ascii="Calibri" w:hAnsi="Calibri" w:cs="Arial"/>
          <w:b/>
          <w:bCs/>
          <w:sz w:val="32"/>
          <w:szCs w:val="32"/>
        </w:rPr>
        <w:t>MONTEREY BAY AIR RESOURCES DISTRICT</w:t>
      </w:r>
    </w:p>
    <w:p w14:paraId="291523D7" w14:textId="77777777" w:rsidR="00D459D3" w:rsidRPr="00DA3B83" w:rsidRDefault="00D459D3" w:rsidP="002641CC">
      <w:pPr>
        <w:pStyle w:val="Default"/>
        <w:pBdr>
          <w:bottom w:val="single" w:sz="4" w:space="1" w:color="auto"/>
        </w:pBdr>
        <w:tabs>
          <w:tab w:val="left" w:pos="1350"/>
        </w:tabs>
        <w:jc w:val="center"/>
        <w:rPr>
          <w:rFonts w:ascii="Calibri" w:hAnsi="Calibri" w:cs="Arial"/>
          <w:bCs/>
          <w:sz w:val="22"/>
          <w:szCs w:val="22"/>
        </w:rPr>
      </w:pPr>
      <w:r w:rsidRPr="00DA3B83">
        <w:rPr>
          <w:rFonts w:ascii="Calibri" w:hAnsi="Calibri" w:cs="Arial"/>
          <w:bCs/>
          <w:sz w:val="22"/>
          <w:szCs w:val="22"/>
        </w:rPr>
        <w:t>24580 Silver Cloud Court, Monterey, CA  93940</w:t>
      </w:r>
    </w:p>
    <w:p w14:paraId="2B0CBE02" w14:textId="77777777" w:rsidR="00776902" w:rsidRPr="00DA3B83" w:rsidRDefault="00776902" w:rsidP="00C11D9C">
      <w:pPr>
        <w:pStyle w:val="Default"/>
        <w:spacing w:line="220" w:lineRule="exact"/>
        <w:rPr>
          <w:rFonts w:ascii="Calibri" w:hAnsi="Calibri"/>
          <w:color w:val="auto"/>
        </w:rPr>
      </w:pPr>
    </w:p>
    <w:p w14:paraId="22E21078" w14:textId="77777777" w:rsidR="003D1132" w:rsidRPr="00376908" w:rsidRDefault="002641CC" w:rsidP="00E74A24">
      <w:pPr>
        <w:pStyle w:val="Default"/>
        <w:jc w:val="center"/>
        <w:rPr>
          <w:rFonts w:ascii="Calibri" w:hAnsi="Calibri" w:cs="Calibri"/>
          <w:b/>
          <w:sz w:val="40"/>
          <w:szCs w:val="40"/>
        </w:rPr>
      </w:pPr>
      <w:r w:rsidRPr="002641CC">
        <w:rPr>
          <w:rFonts w:ascii="Calibri" w:hAnsi="Calibri"/>
          <w:b/>
          <w:bCs/>
          <w:sz w:val="40"/>
        </w:rPr>
        <w:t xml:space="preserve"> CLARIFICATION OF PERMIT REQUIREMENTS FOR </w:t>
      </w:r>
      <w:r w:rsidR="00D818F7">
        <w:rPr>
          <w:rFonts w:ascii="Calibri" w:hAnsi="Calibri"/>
          <w:b/>
          <w:bCs/>
          <w:sz w:val="40"/>
        </w:rPr>
        <w:t xml:space="preserve">STATIONARY </w:t>
      </w:r>
      <w:r w:rsidR="00915BBE">
        <w:rPr>
          <w:rFonts w:ascii="Calibri" w:hAnsi="Calibri"/>
          <w:b/>
          <w:bCs/>
          <w:sz w:val="40"/>
        </w:rPr>
        <w:t xml:space="preserve">NON-AGRICULTURAL </w:t>
      </w:r>
      <w:r w:rsidR="00D818F7">
        <w:rPr>
          <w:rFonts w:ascii="Calibri" w:hAnsi="Calibri"/>
          <w:b/>
          <w:bCs/>
          <w:sz w:val="40"/>
        </w:rPr>
        <w:t>DIESEL</w:t>
      </w:r>
      <w:r w:rsidR="00B600DE">
        <w:rPr>
          <w:rFonts w:ascii="Calibri" w:hAnsi="Calibri"/>
          <w:b/>
          <w:bCs/>
          <w:sz w:val="40"/>
        </w:rPr>
        <w:t xml:space="preserve"> ENGINES</w:t>
      </w:r>
      <w:r w:rsidR="00D818F7">
        <w:rPr>
          <w:rFonts w:ascii="Calibri" w:hAnsi="Calibri"/>
          <w:b/>
          <w:bCs/>
          <w:sz w:val="40"/>
        </w:rPr>
        <w:t xml:space="preserve"> SERVING ELE</w:t>
      </w:r>
      <w:r w:rsidR="00915BBE">
        <w:rPr>
          <w:rFonts w:ascii="Calibri" w:hAnsi="Calibri"/>
          <w:b/>
          <w:bCs/>
          <w:sz w:val="40"/>
        </w:rPr>
        <w:t>CTRICAL GENERATORS, COMPRESSORS &amp;</w:t>
      </w:r>
      <w:r w:rsidR="00D818F7">
        <w:rPr>
          <w:rFonts w:ascii="Calibri" w:hAnsi="Calibri"/>
          <w:b/>
          <w:bCs/>
          <w:sz w:val="40"/>
        </w:rPr>
        <w:t xml:space="preserve"> WATER PUMPS</w:t>
      </w:r>
    </w:p>
    <w:p w14:paraId="559E98D8" w14:textId="77777777" w:rsidR="002641CC" w:rsidRPr="008F1CFF" w:rsidRDefault="002641CC" w:rsidP="002641CC">
      <w:pPr>
        <w:pStyle w:val="Default"/>
        <w:jc w:val="center"/>
        <w:rPr>
          <w:rFonts w:ascii="Calibri" w:hAnsi="Calibri"/>
          <w:b/>
          <w:bCs/>
          <w:color w:val="auto"/>
          <w:sz w:val="32"/>
          <w:szCs w:val="32"/>
        </w:rPr>
      </w:pPr>
    </w:p>
    <w:p w14:paraId="405A7AB9" w14:textId="77777777" w:rsidR="00D05485" w:rsidRPr="00DA3B83" w:rsidRDefault="00D05485" w:rsidP="00186ADC">
      <w:pPr>
        <w:pStyle w:val="Default"/>
        <w:spacing w:line="200" w:lineRule="exact"/>
        <w:jc w:val="both"/>
        <w:rPr>
          <w:rFonts w:ascii="Calibri" w:hAnsi="Calibri"/>
          <w:color w:val="auto"/>
        </w:rPr>
      </w:pPr>
    </w:p>
    <w:p w14:paraId="6A22E664" w14:textId="77777777" w:rsidR="002641CC" w:rsidRPr="002641CC" w:rsidRDefault="002641CC" w:rsidP="00186ADC">
      <w:pPr>
        <w:pStyle w:val="Default"/>
        <w:jc w:val="both"/>
        <w:rPr>
          <w:rFonts w:ascii="Calibri" w:hAnsi="Calibri"/>
          <w:b/>
          <w:color w:val="auto"/>
          <w:sz w:val="23"/>
          <w:szCs w:val="23"/>
          <w:u w:val="single"/>
        </w:rPr>
      </w:pPr>
      <w:r w:rsidRPr="002641CC">
        <w:rPr>
          <w:rFonts w:ascii="Calibri" w:hAnsi="Calibri"/>
          <w:b/>
          <w:color w:val="auto"/>
          <w:sz w:val="23"/>
          <w:szCs w:val="23"/>
          <w:u w:val="single"/>
        </w:rPr>
        <w:t>Equipment Applicability</w:t>
      </w:r>
    </w:p>
    <w:p w14:paraId="57ED8CB4" w14:textId="483FA9A3" w:rsidR="002641CC" w:rsidRPr="002641CC" w:rsidRDefault="002641CC" w:rsidP="00186ADC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2641CC">
        <w:rPr>
          <w:rFonts w:ascii="Calibri" w:hAnsi="Calibri"/>
          <w:color w:val="auto"/>
          <w:sz w:val="23"/>
          <w:szCs w:val="23"/>
        </w:rPr>
        <w:t xml:space="preserve">This </w:t>
      </w:r>
      <w:r>
        <w:rPr>
          <w:rFonts w:ascii="Calibri" w:hAnsi="Calibri"/>
          <w:color w:val="auto"/>
          <w:sz w:val="23"/>
          <w:szCs w:val="23"/>
        </w:rPr>
        <w:t>advisory</w:t>
      </w:r>
      <w:r w:rsidRPr="002641CC">
        <w:rPr>
          <w:rFonts w:ascii="Calibri" w:hAnsi="Calibri"/>
          <w:color w:val="auto"/>
          <w:sz w:val="23"/>
          <w:szCs w:val="23"/>
        </w:rPr>
        <w:t xml:space="preserve"> contains clarification</w:t>
      </w:r>
      <w:r w:rsidR="00F408AE">
        <w:rPr>
          <w:rFonts w:ascii="Calibri" w:hAnsi="Calibri"/>
          <w:color w:val="auto"/>
          <w:sz w:val="23"/>
          <w:szCs w:val="23"/>
        </w:rPr>
        <w:t>s</w:t>
      </w:r>
      <w:r w:rsidRPr="002641CC">
        <w:rPr>
          <w:rFonts w:ascii="Calibri" w:hAnsi="Calibri"/>
          <w:color w:val="auto"/>
          <w:sz w:val="23"/>
          <w:szCs w:val="23"/>
        </w:rPr>
        <w:t xml:space="preserve"> of the permit requirements for </w:t>
      </w:r>
      <w:r w:rsidR="00CB549B">
        <w:rPr>
          <w:rFonts w:ascii="Calibri" w:hAnsi="Calibri"/>
          <w:color w:val="auto"/>
          <w:sz w:val="23"/>
          <w:szCs w:val="23"/>
        </w:rPr>
        <w:t>diesel</w:t>
      </w:r>
      <w:r w:rsidR="003D1132">
        <w:rPr>
          <w:rFonts w:ascii="Calibri" w:hAnsi="Calibri"/>
          <w:color w:val="auto"/>
          <w:sz w:val="23"/>
          <w:szCs w:val="23"/>
        </w:rPr>
        <w:t xml:space="preserve"> </w:t>
      </w:r>
      <w:r w:rsidR="00F408AE">
        <w:rPr>
          <w:rFonts w:ascii="Calibri" w:hAnsi="Calibri"/>
          <w:color w:val="auto"/>
          <w:sz w:val="23"/>
          <w:szCs w:val="23"/>
        </w:rPr>
        <w:t xml:space="preserve">internal combustion (IC) </w:t>
      </w:r>
      <w:r w:rsidR="00DB0D6E">
        <w:rPr>
          <w:rFonts w:ascii="Calibri" w:hAnsi="Calibri"/>
          <w:color w:val="auto"/>
          <w:sz w:val="23"/>
          <w:szCs w:val="23"/>
        </w:rPr>
        <w:t xml:space="preserve">engines serving </w:t>
      </w:r>
      <w:r w:rsidR="003D1132">
        <w:rPr>
          <w:rFonts w:ascii="Calibri" w:hAnsi="Calibri"/>
          <w:color w:val="auto"/>
          <w:sz w:val="23"/>
          <w:szCs w:val="23"/>
        </w:rPr>
        <w:t>generators</w:t>
      </w:r>
      <w:r w:rsidR="00BF652F">
        <w:rPr>
          <w:rFonts w:ascii="Calibri" w:hAnsi="Calibri"/>
          <w:color w:val="auto"/>
          <w:sz w:val="23"/>
          <w:szCs w:val="23"/>
        </w:rPr>
        <w:t>, compressors</w:t>
      </w:r>
      <w:r w:rsidR="003D1132">
        <w:rPr>
          <w:rFonts w:ascii="Calibri" w:hAnsi="Calibri"/>
          <w:color w:val="auto"/>
          <w:sz w:val="23"/>
          <w:szCs w:val="23"/>
        </w:rPr>
        <w:t xml:space="preserve"> and water pumps to be operated </w:t>
      </w:r>
      <w:r w:rsidRPr="002641CC">
        <w:rPr>
          <w:rFonts w:ascii="Calibri" w:hAnsi="Calibri"/>
          <w:color w:val="auto"/>
          <w:sz w:val="23"/>
          <w:szCs w:val="23"/>
        </w:rPr>
        <w:t>within the Monterey, Santa Cruz and San Benito Counties.</w:t>
      </w:r>
    </w:p>
    <w:p w14:paraId="4F3BB154" w14:textId="77777777" w:rsidR="002641CC" w:rsidRDefault="002641CC" w:rsidP="00186ADC">
      <w:pPr>
        <w:pStyle w:val="Default"/>
        <w:spacing w:line="220" w:lineRule="exact"/>
        <w:jc w:val="both"/>
        <w:rPr>
          <w:rFonts w:ascii="Calibri" w:hAnsi="Calibri"/>
          <w:color w:val="auto"/>
          <w:sz w:val="23"/>
          <w:szCs w:val="23"/>
        </w:rPr>
      </w:pPr>
    </w:p>
    <w:p w14:paraId="400EB87C" w14:textId="77777777" w:rsidR="00915BBE" w:rsidRDefault="00131DA1" w:rsidP="00186ADC">
      <w:pPr>
        <w:pStyle w:val="Default"/>
        <w:spacing w:line="220" w:lineRule="exact"/>
        <w:jc w:val="both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 xml:space="preserve">For information on registering diesel engines utilized in agricultural operations, click </w:t>
      </w:r>
      <w:hyperlink r:id="rId9" w:history="1">
        <w:r w:rsidRPr="00131DA1">
          <w:rPr>
            <w:rStyle w:val="Hyperlink"/>
            <w:rFonts w:ascii="Calibri" w:hAnsi="Calibri"/>
            <w:sz w:val="23"/>
            <w:szCs w:val="23"/>
          </w:rPr>
          <w:t>here</w:t>
        </w:r>
      </w:hyperlink>
      <w:r>
        <w:rPr>
          <w:rFonts w:ascii="Calibri" w:hAnsi="Calibri"/>
          <w:color w:val="auto"/>
          <w:sz w:val="23"/>
          <w:szCs w:val="23"/>
        </w:rPr>
        <w:t>.</w:t>
      </w:r>
    </w:p>
    <w:p w14:paraId="0FC84624" w14:textId="77777777" w:rsidR="00915BBE" w:rsidRDefault="00915BBE" w:rsidP="00186ADC">
      <w:pPr>
        <w:pStyle w:val="Default"/>
        <w:spacing w:line="220" w:lineRule="exact"/>
        <w:jc w:val="both"/>
        <w:rPr>
          <w:rFonts w:ascii="Calibri" w:hAnsi="Calibri"/>
          <w:color w:val="auto"/>
          <w:sz w:val="23"/>
          <w:szCs w:val="23"/>
        </w:rPr>
      </w:pPr>
    </w:p>
    <w:p w14:paraId="1137856F" w14:textId="016D9402" w:rsidR="003D1132" w:rsidRPr="00376908" w:rsidRDefault="003D1132" w:rsidP="00186ADC">
      <w:pPr>
        <w:jc w:val="both"/>
        <w:rPr>
          <w:rFonts w:ascii="Calibri" w:hAnsi="Calibri" w:cs="Calibri"/>
          <w:b/>
          <w:sz w:val="23"/>
          <w:szCs w:val="23"/>
        </w:rPr>
      </w:pPr>
      <w:r w:rsidRPr="00376908">
        <w:rPr>
          <w:rFonts w:ascii="Calibri" w:hAnsi="Calibri" w:cs="Calibri"/>
          <w:b/>
          <w:sz w:val="23"/>
          <w:szCs w:val="23"/>
          <w:u w:val="single"/>
        </w:rPr>
        <w:t xml:space="preserve">Definition of </w:t>
      </w:r>
      <w:r w:rsidR="00F408AE">
        <w:rPr>
          <w:rFonts w:ascii="Calibri" w:hAnsi="Calibri" w:cs="Calibri"/>
          <w:b/>
          <w:sz w:val="23"/>
          <w:szCs w:val="23"/>
          <w:u w:val="single"/>
        </w:rPr>
        <w:t xml:space="preserve">Emergency </w:t>
      </w:r>
      <w:r w:rsidR="00FA10C9">
        <w:rPr>
          <w:rFonts w:ascii="Calibri" w:hAnsi="Calibri" w:cs="Calibri"/>
          <w:b/>
          <w:sz w:val="23"/>
          <w:szCs w:val="23"/>
          <w:u w:val="single"/>
        </w:rPr>
        <w:t>Diesel</w:t>
      </w:r>
      <w:r w:rsidRPr="00376908">
        <w:rPr>
          <w:rFonts w:ascii="Calibri" w:hAnsi="Calibri" w:cs="Calibri"/>
          <w:b/>
          <w:sz w:val="23"/>
          <w:szCs w:val="23"/>
          <w:u w:val="single"/>
        </w:rPr>
        <w:t xml:space="preserve"> Engines Serving Generators</w:t>
      </w:r>
      <w:r w:rsidR="008C6F49">
        <w:rPr>
          <w:rFonts w:ascii="Calibri" w:hAnsi="Calibri" w:cs="Calibri"/>
          <w:b/>
          <w:sz w:val="23"/>
          <w:szCs w:val="23"/>
          <w:u w:val="single"/>
        </w:rPr>
        <w:t xml:space="preserve"> &amp;</w:t>
      </w:r>
      <w:r w:rsidRPr="00376908">
        <w:rPr>
          <w:rFonts w:ascii="Calibri" w:hAnsi="Calibri" w:cs="Calibri"/>
          <w:b/>
          <w:sz w:val="23"/>
          <w:szCs w:val="23"/>
          <w:u w:val="single"/>
        </w:rPr>
        <w:t xml:space="preserve"> Water Pumps</w:t>
      </w:r>
    </w:p>
    <w:p w14:paraId="1A06A933" w14:textId="66BC6DBB" w:rsidR="00823BA7" w:rsidRDefault="003D1132" w:rsidP="00186ADC">
      <w:pPr>
        <w:jc w:val="both"/>
        <w:rPr>
          <w:rFonts w:ascii="Calibri" w:hAnsi="Calibri" w:cs="Calibri"/>
          <w:sz w:val="23"/>
          <w:szCs w:val="23"/>
        </w:rPr>
      </w:pPr>
      <w:r w:rsidRPr="00376908">
        <w:rPr>
          <w:rFonts w:ascii="Calibri" w:hAnsi="Calibri" w:cs="Calibri"/>
          <w:sz w:val="23"/>
          <w:szCs w:val="23"/>
        </w:rPr>
        <w:t xml:space="preserve">Standby </w:t>
      </w:r>
      <w:r w:rsidR="00CE5BC5">
        <w:rPr>
          <w:rFonts w:ascii="Calibri" w:hAnsi="Calibri" w:cs="Calibri"/>
          <w:sz w:val="23"/>
          <w:szCs w:val="23"/>
        </w:rPr>
        <w:t>engines</w:t>
      </w:r>
      <w:r w:rsidRPr="00376908">
        <w:rPr>
          <w:rFonts w:ascii="Calibri" w:hAnsi="Calibri" w:cs="Calibri"/>
          <w:sz w:val="23"/>
          <w:szCs w:val="23"/>
        </w:rPr>
        <w:t xml:space="preserve"> are defined as emergency </w:t>
      </w:r>
      <w:r w:rsidR="00CE5BC5">
        <w:rPr>
          <w:rFonts w:ascii="Calibri" w:hAnsi="Calibri" w:cs="Calibri"/>
          <w:sz w:val="23"/>
          <w:szCs w:val="23"/>
        </w:rPr>
        <w:t xml:space="preserve">when serving </w:t>
      </w:r>
      <w:r w:rsidRPr="00376908">
        <w:rPr>
          <w:rFonts w:ascii="Calibri" w:hAnsi="Calibri" w:cs="Calibri"/>
          <w:sz w:val="23"/>
          <w:szCs w:val="23"/>
        </w:rPr>
        <w:t xml:space="preserve">electrical generators and water pumps only when </w:t>
      </w:r>
      <w:r w:rsidR="00CE5BC5">
        <w:rPr>
          <w:rFonts w:ascii="Calibri" w:hAnsi="Calibri" w:cs="Calibri"/>
          <w:sz w:val="23"/>
          <w:szCs w:val="23"/>
        </w:rPr>
        <w:t xml:space="preserve">used in the event that </w:t>
      </w:r>
      <w:r w:rsidRPr="00376908">
        <w:rPr>
          <w:rFonts w:ascii="Calibri" w:hAnsi="Calibri" w:cs="Calibri"/>
          <w:sz w:val="23"/>
          <w:szCs w:val="23"/>
        </w:rPr>
        <w:t xml:space="preserve">normal utility powerline service fails or in the event of an involuntary power interruption or unforeseen disruption in utility service planned by the local utility.  </w:t>
      </w:r>
      <w:r w:rsidR="00823BA7">
        <w:rPr>
          <w:rFonts w:ascii="Calibri" w:hAnsi="Calibri" w:cs="Calibri"/>
          <w:sz w:val="23"/>
          <w:szCs w:val="23"/>
        </w:rPr>
        <w:t xml:space="preserve">The engines have limits on the number of hours the units are allowed to operate for </w:t>
      </w:r>
      <w:r w:rsidR="00A05C15">
        <w:rPr>
          <w:rFonts w:ascii="Calibri" w:hAnsi="Calibri" w:cs="Calibri"/>
          <w:sz w:val="23"/>
          <w:szCs w:val="23"/>
        </w:rPr>
        <w:t>maintenance &amp; testing</w:t>
      </w:r>
      <w:r w:rsidR="00823BA7">
        <w:rPr>
          <w:rFonts w:ascii="Calibri" w:hAnsi="Calibri" w:cs="Calibri"/>
          <w:sz w:val="23"/>
          <w:szCs w:val="23"/>
        </w:rPr>
        <w:t xml:space="preserve"> purposes.  The </w:t>
      </w:r>
      <w:r w:rsidR="00A05C15">
        <w:rPr>
          <w:rFonts w:ascii="Calibri" w:hAnsi="Calibri" w:cs="Calibri"/>
          <w:sz w:val="23"/>
          <w:szCs w:val="23"/>
        </w:rPr>
        <w:t xml:space="preserve">hour </w:t>
      </w:r>
      <w:r w:rsidR="00823BA7">
        <w:rPr>
          <w:rFonts w:ascii="Calibri" w:hAnsi="Calibri" w:cs="Calibri"/>
          <w:sz w:val="23"/>
          <w:szCs w:val="23"/>
        </w:rPr>
        <w:t>limits are based on the engine’s emissions profile</w:t>
      </w:r>
      <w:r w:rsidR="00E47160">
        <w:rPr>
          <w:rFonts w:ascii="Calibri" w:hAnsi="Calibri" w:cs="Calibri"/>
          <w:sz w:val="23"/>
          <w:szCs w:val="23"/>
        </w:rPr>
        <w:t xml:space="preserve"> and are imposed by the California Code of Regulations Title 17 Section 93115 – Airborne Toxic Control Measure </w:t>
      </w:r>
      <w:r w:rsidR="00546332">
        <w:rPr>
          <w:rFonts w:ascii="Calibri" w:hAnsi="Calibri" w:cs="Calibri"/>
          <w:sz w:val="23"/>
          <w:szCs w:val="23"/>
        </w:rPr>
        <w:t xml:space="preserve">(ATCM) </w:t>
      </w:r>
      <w:r w:rsidR="00E47160">
        <w:rPr>
          <w:rFonts w:ascii="Calibri" w:hAnsi="Calibri" w:cs="Calibri"/>
          <w:sz w:val="23"/>
          <w:szCs w:val="23"/>
        </w:rPr>
        <w:t>for Stationary Compression Ignition Engines, and as outline</w:t>
      </w:r>
      <w:r w:rsidR="007B79D3">
        <w:rPr>
          <w:rFonts w:ascii="Calibri" w:hAnsi="Calibri" w:cs="Calibri"/>
          <w:sz w:val="23"/>
          <w:szCs w:val="23"/>
        </w:rPr>
        <w:t>d</w:t>
      </w:r>
      <w:r w:rsidR="00E47160">
        <w:rPr>
          <w:rFonts w:ascii="Calibri" w:hAnsi="Calibri" w:cs="Calibri"/>
          <w:sz w:val="23"/>
          <w:szCs w:val="23"/>
        </w:rPr>
        <w:t xml:space="preserve"> in District Rule 1010, </w:t>
      </w:r>
      <w:r w:rsidR="00E47160" w:rsidRPr="00715988">
        <w:rPr>
          <w:rFonts w:ascii="Calibri" w:hAnsi="Calibri" w:cs="Calibri"/>
          <w:i/>
          <w:sz w:val="23"/>
          <w:szCs w:val="23"/>
        </w:rPr>
        <w:t>ATCM for Stationary Compression Ignition Engines</w:t>
      </w:r>
      <w:r w:rsidR="00823BA7">
        <w:rPr>
          <w:rFonts w:ascii="Calibri" w:hAnsi="Calibri" w:cs="Calibri"/>
          <w:sz w:val="23"/>
          <w:szCs w:val="23"/>
        </w:rPr>
        <w:t>.</w:t>
      </w:r>
    </w:p>
    <w:p w14:paraId="0C95D402" w14:textId="77777777" w:rsidR="00376908" w:rsidRDefault="00376908" w:rsidP="00186ADC">
      <w:pPr>
        <w:pStyle w:val="Default"/>
        <w:jc w:val="both"/>
        <w:rPr>
          <w:rFonts w:ascii="Calibri" w:hAnsi="Calibri"/>
          <w:b/>
          <w:color w:val="auto"/>
          <w:sz w:val="23"/>
          <w:szCs w:val="23"/>
          <w:u w:val="single"/>
        </w:rPr>
      </w:pPr>
    </w:p>
    <w:p w14:paraId="6AF31954" w14:textId="77777777" w:rsidR="00376908" w:rsidRDefault="002641CC" w:rsidP="00186ADC">
      <w:pPr>
        <w:jc w:val="both"/>
      </w:pPr>
      <w:r w:rsidRPr="002641CC">
        <w:rPr>
          <w:rFonts w:ascii="Calibri" w:hAnsi="Calibri"/>
          <w:b/>
          <w:sz w:val="23"/>
          <w:szCs w:val="23"/>
          <w:u w:val="single"/>
        </w:rPr>
        <w:t>Permit Requirements</w:t>
      </w:r>
    </w:p>
    <w:p w14:paraId="0B1FAC19" w14:textId="7C3F558A" w:rsidR="00190C75" w:rsidRDefault="00190C75" w:rsidP="00186ADC">
      <w:pPr>
        <w:jc w:val="both"/>
        <w:rPr>
          <w:rFonts w:ascii="Calibri" w:hAnsi="Calibri" w:cs="Calibri"/>
          <w:sz w:val="23"/>
          <w:szCs w:val="23"/>
        </w:rPr>
      </w:pPr>
      <w:r w:rsidRPr="00CD49FA">
        <w:rPr>
          <w:rFonts w:ascii="Calibri" w:hAnsi="Calibri" w:cs="Calibri"/>
          <w:sz w:val="23"/>
          <w:szCs w:val="23"/>
        </w:rPr>
        <w:t xml:space="preserve">Any </w:t>
      </w:r>
      <w:r w:rsidR="00633D9A">
        <w:rPr>
          <w:rFonts w:ascii="Calibri" w:hAnsi="Calibri" w:cs="Calibri"/>
          <w:sz w:val="23"/>
          <w:szCs w:val="23"/>
        </w:rPr>
        <w:t>diesel</w:t>
      </w:r>
      <w:r w:rsidRPr="00CD49FA">
        <w:rPr>
          <w:rFonts w:ascii="Calibri" w:hAnsi="Calibri" w:cs="Calibri"/>
          <w:sz w:val="23"/>
          <w:szCs w:val="23"/>
        </w:rPr>
        <w:t xml:space="preserve"> engine with a rating of 50 h</w:t>
      </w:r>
      <w:r w:rsidR="00A233A1" w:rsidRPr="00CD49FA">
        <w:rPr>
          <w:rFonts w:ascii="Calibri" w:hAnsi="Calibri" w:cs="Calibri"/>
          <w:sz w:val="23"/>
          <w:szCs w:val="23"/>
        </w:rPr>
        <w:t>orsepower (Hp)</w:t>
      </w:r>
      <w:r w:rsidRPr="00CD49FA">
        <w:rPr>
          <w:rFonts w:ascii="Calibri" w:hAnsi="Calibri" w:cs="Calibri"/>
          <w:sz w:val="23"/>
          <w:szCs w:val="23"/>
        </w:rPr>
        <w:t xml:space="preserve"> or greater requires a District Permit</w:t>
      </w:r>
      <w:r w:rsidR="00CE5BC5">
        <w:rPr>
          <w:rFonts w:ascii="Calibri" w:hAnsi="Calibri" w:cs="Calibri"/>
          <w:sz w:val="23"/>
          <w:szCs w:val="23"/>
        </w:rPr>
        <w:t xml:space="preserve"> (emergency and non-emergency)</w:t>
      </w:r>
      <w:r w:rsidRPr="00CD49FA">
        <w:rPr>
          <w:rFonts w:ascii="Calibri" w:hAnsi="Calibri" w:cs="Calibri"/>
          <w:sz w:val="23"/>
          <w:szCs w:val="23"/>
        </w:rPr>
        <w:t>.  Portable engines that are registered under California Code of Regulations Title 13, Article 5, Sections 2450 through 2465 (Portable Equipment Registration Program - PERP) may be exempt from District permits unless the engine is used with stationary equipment that requires a District permit, remains at one location for more than one year</w:t>
      </w:r>
      <w:r w:rsidR="00F408AE">
        <w:rPr>
          <w:rFonts w:ascii="Calibri" w:hAnsi="Calibri" w:cs="Calibri"/>
          <w:sz w:val="23"/>
          <w:szCs w:val="23"/>
        </w:rPr>
        <w:t>,</w:t>
      </w:r>
      <w:r w:rsidRPr="00CD49FA">
        <w:rPr>
          <w:rFonts w:ascii="Calibri" w:hAnsi="Calibri" w:cs="Calibri"/>
          <w:sz w:val="23"/>
          <w:szCs w:val="23"/>
        </w:rPr>
        <w:t xml:space="preserve"> or does not meet the requirements specified in the District</w:t>
      </w:r>
      <w:r w:rsidRPr="00CD49FA">
        <w:rPr>
          <w:rFonts w:ascii="Calibri" w:hAnsi="Calibri" w:cs="Calibri"/>
          <w:sz w:val="23"/>
          <w:szCs w:val="23"/>
          <w:u w:val="single"/>
        </w:rPr>
        <w:t xml:space="preserve"> </w:t>
      </w:r>
      <w:r w:rsidRPr="00CD49FA">
        <w:rPr>
          <w:rFonts w:ascii="Calibri" w:hAnsi="Calibri" w:cs="Calibri"/>
          <w:i/>
          <w:sz w:val="23"/>
          <w:szCs w:val="23"/>
          <w:u w:val="single"/>
        </w:rPr>
        <w:t>PERP Eligibility Policy at Stationary Sources</w:t>
      </w:r>
      <w:r w:rsidRPr="00CD49FA">
        <w:rPr>
          <w:rFonts w:ascii="Calibri" w:hAnsi="Calibri" w:cs="Calibri"/>
          <w:sz w:val="23"/>
          <w:szCs w:val="23"/>
        </w:rPr>
        <w:t>.</w:t>
      </w:r>
    </w:p>
    <w:p w14:paraId="24C187FE" w14:textId="77777777" w:rsidR="00546332" w:rsidRPr="00CD49FA" w:rsidRDefault="00546332" w:rsidP="00186ADC">
      <w:pPr>
        <w:jc w:val="both"/>
        <w:rPr>
          <w:rFonts w:ascii="Calibri" w:hAnsi="Calibri" w:cs="Calibri"/>
          <w:sz w:val="23"/>
          <w:szCs w:val="23"/>
        </w:rPr>
      </w:pPr>
    </w:p>
    <w:p w14:paraId="6B40DE54" w14:textId="77777777" w:rsidR="00546332" w:rsidRPr="00684819" w:rsidRDefault="00546332" w:rsidP="00546332">
      <w:pPr>
        <w:pStyle w:val="Default"/>
        <w:jc w:val="both"/>
        <w:rPr>
          <w:rFonts w:ascii="Calibri" w:hAnsi="Calibri"/>
          <w:b/>
          <w:color w:val="auto"/>
          <w:sz w:val="23"/>
          <w:szCs w:val="23"/>
        </w:rPr>
      </w:pPr>
      <w:r w:rsidRPr="00684819">
        <w:rPr>
          <w:rFonts w:ascii="Calibri" w:hAnsi="Calibri"/>
          <w:b/>
          <w:color w:val="auto"/>
          <w:sz w:val="23"/>
          <w:szCs w:val="23"/>
          <w:u w:val="single"/>
        </w:rPr>
        <w:t>Engine Requirements</w:t>
      </w:r>
    </w:p>
    <w:p w14:paraId="5EBC6997" w14:textId="5062AD00" w:rsidR="009B1C51" w:rsidRDefault="009B1C51" w:rsidP="00546332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>Emergency-Use:</w:t>
      </w:r>
    </w:p>
    <w:p w14:paraId="7A9D9B3F" w14:textId="5A7C138A" w:rsidR="00546332" w:rsidRDefault="00546332" w:rsidP="00546332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>All new emergency-use engines must be certified to the CARB or EPA Off-Road standards.</w:t>
      </w:r>
      <w:r w:rsidR="00684819">
        <w:rPr>
          <w:rFonts w:ascii="Calibri" w:hAnsi="Calibri"/>
          <w:color w:val="auto"/>
          <w:sz w:val="23"/>
          <w:szCs w:val="23"/>
        </w:rPr>
        <w:t xml:space="preserve">  Engines rated 50 ≥ HP &lt; 750 must be certified to meet Tier 3 standards.  Engines rated ≥ 750 HP must be certified to meet Tier 2 standards.</w:t>
      </w:r>
    </w:p>
    <w:p w14:paraId="6B56A1EC" w14:textId="7A81C869" w:rsidR="009B1C51" w:rsidRDefault="009B1C51" w:rsidP="00546332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</w:p>
    <w:p w14:paraId="5FF25882" w14:textId="655723B3" w:rsidR="009B1C51" w:rsidRPr="00684819" w:rsidRDefault="009B1C51" w:rsidP="00546332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684819">
        <w:rPr>
          <w:rFonts w:asciiTheme="minorHAnsi" w:hAnsiTheme="minorHAnsi" w:cstheme="minorHAnsi"/>
          <w:color w:val="auto"/>
          <w:sz w:val="23"/>
          <w:szCs w:val="23"/>
        </w:rPr>
        <w:t>Prime-Use Engines:</w:t>
      </w:r>
    </w:p>
    <w:p w14:paraId="627214DC" w14:textId="0784D5F2" w:rsidR="009B1C51" w:rsidRPr="00684819" w:rsidRDefault="00546332" w:rsidP="009B1C51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684819">
        <w:rPr>
          <w:rFonts w:asciiTheme="minorHAnsi" w:hAnsiTheme="minorHAnsi" w:cstheme="minorHAnsi"/>
          <w:color w:val="auto"/>
          <w:sz w:val="23"/>
          <w:szCs w:val="23"/>
        </w:rPr>
        <w:t xml:space="preserve">All new prime-use engines must </w:t>
      </w:r>
      <w:r w:rsidR="009B1C51" w:rsidRPr="00684819">
        <w:rPr>
          <w:rFonts w:asciiTheme="minorHAnsi" w:hAnsiTheme="minorHAnsi" w:cstheme="minorHAnsi"/>
          <w:color w:val="auto"/>
          <w:sz w:val="23"/>
          <w:szCs w:val="23"/>
        </w:rPr>
        <w:t xml:space="preserve">meet the Tier 4 emission standards by one of the </w:t>
      </w:r>
      <w:r w:rsidR="006434FC">
        <w:rPr>
          <w:rFonts w:asciiTheme="minorHAnsi" w:hAnsiTheme="minorHAnsi" w:cstheme="minorHAnsi"/>
          <w:color w:val="auto"/>
          <w:sz w:val="23"/>
          <w:szCs w:val="23"/>
        </w:rPr>
        <w:t xml:space="preserve">following </w:t>
      </w:r>
      <w:r w:rsidR="009B1C51" w:rsidRPr="00684819">
        <w:rPr>
          <w:rFonts w:asciiTheme="minorHAnsi" w:hAnsiTheme="minorHAnsi" w:cstheme="minorHAnsi"/>
          <w:color w:val="auto"/>
          <w:sz w:val="23"/>
          <w:szCs w:val="23"/>
        </w:rPr>
        <w:t>two options:</w:t>
      </w:r>
    </w:p>
    <w:p w14:paraId="02BBF252" w14:textId="5AE7485B" w:rsidR="009B1C51" w:rsidRPr="00684819" w:rsidRDefault="009B1C51" w:rsidP="006434FC">
      <w:pPr>
        <w:pStyle w:val="Default"/>
        <w:ind w:left="1080" w:hanging="108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684819">
        <w:rPr>
          <w:rFonts w:asciiTheme="minorHAnsi" w:hAnsiTheme="minorHAnsi" w:cstheme="minorHAnsi"/>
          <w:color w:val="auto"/>
          <w:sz w:val="23"/>
          <w:szCs w:val="23"/>
        </w:rPr>
        <w:t xml:space="preserve">Option 1 </w:t>
      </w:r>
      <w:r w:rsidR="006434FC">
        <w:rPr>
          <w:rFonts w:asciiTheme="minorHAnsi" w:hAnsiTheme="minorHAnsi" w:cstheme="minorHAnsi"/>
          <w:color w:val="auto"/>
          <w:sz w:val="23"/>
          <w:szCs w:val="23"/>
        </w:rPr>
        <w:t>-</w:t>
      </w:r>
      <w:r w:rsidR="006434FC">
        <w:rPr>
          <w:rFonts w:asciiTheme="minorHAnsi" w:hAnsiTheme="minorHAnsi" w:cstheme="minorHAnsi"/>
          <w:color w:val="auto"/>
          <w:sz w:val="23"/>
          <w:szCs w:val="23"/>
        </w:rPr>
        <w:tab/>
        <w:t>E</w:t>
      </w:r>
      <w:r w:rsidRPr="00684819">
        <w:rPr>
          <w:rFonts w:asciiTheme="minorHAnsi" w:hAnsiTheme="minorHAnsi" w:cstheme="minorHAnsi"/>
          <w:color w:val="auto"/>
          <w:sz w:val="23"/>
          <w:szCs w:val="23"/>
        </w:rPr>
        <w:t xml:space="preserve">ngine must be </w:t>
      </w:r>
      <w:r w:rsidR="00546332" w:rsidRPr="00684819">
        <w:rPr>
          <w:rFonts w:asciiTheme="minorHAnsi" w:hAnsiTheme="minorHAnsi" w:cstheme="minorHAnsi"/>
          <w:color w:val="auto"/>
          <w:sz w:val="23"/>
          <w:szCs w:val="23"/>
        </w:rPr>
        <w:t>certified to the CARB or EPA Off-Road Tier 4 standards</w:t>
      </w:r>
      <w:r w:rsidRPr="00684819">
        <w:rPr>
          <w:rFonts w:asciiTheme="minorHAnsi" w:hAnsiTheme="minorHAnsi" w:cstheme="minorHAnsi"/>
          <w:color w:val="auto"/>
          <w:sz w:val="23"/>
          <w:szCs w:val="23"/>
        </w:rPr>
        <w:t>; or</w:t>
      </w:r>
    </w:p>
    <w:p w14:paraId="665F9858" w14:textId="2DA1D197" w:rsidR="00B622D8" w:rsidRPr="00684819" w:rsidRDefault="009B1C51" w:rsidP="006434FC">
      <w:pPr>
        <w:pStyle w:val="Default"/>
        <w:ind w:left="1080" w:hanging="108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684819">
        <w:rPr>
          <w:rFonts w:asciiTheme="minorHAnsi" w:hAnsiTheme="minorHAnsi" w:cstheme="minorHAnsi"/>
          <w:color w:val="auto"/>
          <w:sz w:val="23"/>
          <w:szCs w:val="23"/>
        </w:rPr>
        <w:t>Option 2</w:t>
      </w:r>
      <w:r w:rsidR="006434FC">
        <w:rPr>
          <w:rFonts w:asciiTheme="minorHAnsi" w:hAnsiTheme="minorHAnsi" w:cstheme="minorHAnsi"/>
          <w:color w:val="auto"/>
          <w:sz w:val="23"/>
          <w:szCs w:val="23"/>
        </w:rPr>
        <w:t xml:space="preserve"> -</w:t>
      </w:r>
      <w:r w:rsidRPr="00684819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6434FC">
        <w:rPr>
          <w:rFonts w:asciiTheme="minorHAnsi" w:hAnsiTheme="minorHAnsi" w:cstheme="minorHAnsi"/>
          <w:color w:val="auto"/>
          <w:sz w:val="23"/>
          <w:szCs w:val="23"/>
        </w:rPr>
        <w:t>E</w:t>
      </w:r>
      <w:r w:rsidRPr="00684819">
        <w:rPr>
          <w:rFonts w:asciiTheme="minorHAnsi" w:hAnsiTheme="minorHAnsi" w:cstheme="minorHAnsi"/>
          <w:color w:val="auto"/>
          <w:sz w:val="23"/>
          <w:szCs w:val="23"/>
        </w:rPr>
        <w:t xml:space="preserve">ngine must be </w:t>
      </w:r>
      <w:r w:rsidRPr="00684819">
        <w:rPr>
          <w:rFonts w:asciiTheme="minorHAnsi" w:hAnsiTheme="minorHAnsi" w:cstheme="minorHAnsi"/>
          <w:sz w:val="23"/>
          <w:szCs w:val="23"/>
        </w:rPr>
        <w:t xml:space="preserve">certified to the </w:t>
      </w:r>
      <w:r w:rsidR="006434FC" w:rsidRPr="00684819">
        <w:rPr>
          <w:rFonts w:asciiTheme="minorHAnsi" w:hAnsiTheme="minorHAnsi" w:cstheme="minorHAnsi"/>
          <w:sz w:val="23"/>
          <w:szCs w:val="23"/>
        </w:rPr>
        <w:t xml:space="preserve">CARB or EPA </w:t>
      </w:r>
      <w:r w:rsidRPr="00684819">
        <w:rPr>
          <w:rFonts w:asciiTheme="minorHAnsi" w:hAnsiTheme="minorHAnsi" w:cstheme="minorHAnsi"/>
          <w:sz w:val="23"/>
          <w:szCs w:val="23"/>
        </w:rPr>
        <w:t>Tier 2 or Tier 3 Off-Road standards, meeting 0.15 g PM/bhp-hr equipped with a CARB Level 3 Verified Diesel Emission Control Technology, and meeting Tier 4 e</w:t>
      </w:r>
      <w:bookmarkStart w:id="0" w:name="_GoBack"/>
      <w:bookmarkEnd w:id="0"/>
      <w:r w:rsidRPr="00684819">
        <w:rPr>
          <w:rFonts w:asciiTheme="minorHAnsi" w:hAnsiTheme="minorHAnsi" w:cstheme="minorHAnsi"/>
          <w:sz w:val="23"/>
          <w:szCs w:val="23"/>
        </w:rPr>
        <w:t xml:space="preserve">mission standards for NOx, CO, and VOC with </w:t>
      </w:r>
      <w:r w:rsidR="006434FC" w:rsidRPr="00684819">
        <w:rPr>
          <w:rFonts w:asciiTheme="minorHAnsi" w:hAnsiTheme="minorHAnsi" w:cstheme="minorHAnsi"/>
          <w:sz w:val="23"/>
          <w:szCs w:val="23"/>
        </w:rPr>
        <w:t xml:space="preserve">a CARB </w:t>
      </w:r>
      <w:r w:rsidRPr="00684819">
        <w:rPr>
          <w:rFonts w:asciiTheme="minorHAnsi" w:hAnsiTheme="minorHAnsi" w:cstheme="minorHAnsi"/>
          <w:sz w:val="23"/>
          <w:szCs w:val="23"/>
        </w:rPr>
        <w:t xml:space="preserve">approved emission control technology.  Source testing will be required for engines meeting </w:t>
      </w:r>
      <w:r w:rsidR="006434FC" w:rsidRPr="00684819">
        <w:rPr>
          <w:rFonts w:asciiTheme="minorHAnsi" w:hAnsiTheme="minorHAnsi" w:cstheme="minorHAnsi"/>
          <w:sz w:val="23"/>
          <w:szCs w:val="23"/>
        </w:rPr>
        <w:t xml:space="preserve">standards via </w:t>
      </w:r>
      <w:r w:rsidR="006434FC">
        <w:rPr>
          <w:rFonts w:asciiTheme="minorHAnsi" w:hAnsiTheme="minorHAnsi" w:cstheme="minorHAnsi"/>
          <w:sz w:val="23"/>
          <w:szCs w:val="23"/>
        </w:rPr>
        <w:t>o</w:t>
      </w:r>
      <w:r w:rsidRPr="00684819">
        <w:rPr>
          <w:rFonts w:asciiTheme="minorHAnsi" w:hAnsiTheme="minorHAnsi" w:cstheme="minorHAnsi"/>
          <w:sz w:val="23"/>
          <w:szCs w:val="23"/>
        </w:rPr>
        <w:t xml:space="preserve">ption </w:t>
      </w:r>
      <w:r w:rsidR="006434FC" w:rsidRPr="00684819">
        <w:rPr>
          <w:rFonts w:asciiTheme="minorHAnsi" w:hAnsiTheme="minorHAnsi" w:cstheme="minorHAnsi"/>
          <w:sz w:val="23"/>
          <w:szCs w:val="23"/>
        </w:rPr>
        <w:t>2</w:t>
      </w:r>
      <w:r w:rsidRPr="00684819">
        <w:rPr>
          <w:rFonts w:asciiTheme="minorHAnsi" w:hAnsiTheme="minorHAnsi" w:cstheme="minorHAnsi"/>
          <w:sz w:val="23"/>
          <w:szCs w:val="23"/>
        </w:rPr>
        <w:t>.</w:t>
      </w:r>
    </w:p>
    <w:p w14:paraId="480F31D2" w14:textId="5F2500C7" w:rsidR="00546332" w:rsidRDefault="00546332" w:rsidP="00186ADC">
      <w:pPr>
        <w:pStyle w:val="Default"/>
        <w:jc w:val="both"/>
        <w:rPr>
          <w:rFonts w:ascii="Calibri" w:hAnsi="Calibri"/>
          <w:b/>
          <w:color w:val="auto"/>
          <w:sz w:val="23"/>
          <w:szCs w:val="23"/>
          <w:u w:val="single"/>
        </w:rPr>
      </w:pPr>
    </w:p>
    <w:p w14:paraId="299BAC6F" w14:textId="77777777" w:rsidR="00715988" w:rsidRDefault="00715988" w:rsidP="00186ADC">
      <w:pPr>
        <w:pStyle w:val="Default"/>
        <w:jc w:val="both"/>
        <w:rPr>
          <w:rFonts w:ascii="Calibri" w:hAnsi="Calibri"/>
          <w:b/>
          <w:color w:val="auto"/>
          <w:sz w:val="23"/>
          <w:szCs w:val="23"/>
          <w:u w:val="single"/>
        </w:rPr>
      </w:pPr>
    </w:p>
    <w:p w14:paraId="512149CC" w14:textId="77777777" w:rsidR="002641CC" w:rsidRPr="002641CC" w:rsidRDefault="002641CC" w:rsidP="00186ADC">
      <w:pPr>
        <w:pStyle w:val="Default"/>
        <w:jc w:val="both"/>
        <w:rPr>
          <w:rFonts w:ascii="Calibri" w:hAnsi="Calibri"/>
          <w:b/>
          <w:color w:val="auto"/>
          <w:sz w:val="23"/>
          <w:szCs w:val="23"/>
          <w:u w:val="single"/>
        </w:rPr>
      </w:pPr>
      <w:r w:rsidRPr="002641CC">
        <w:rPr>
          <w:rFonts w:ascii="Calibri" w:hAnsi="Calibri"/>
          <w:b/>
          <w:color w:val="auto"/>
          <w:sz w:val="23"/>
          <w:szCs w:val="23"/>
          <w:u w:val="single"/>
        </w:rPr>
        <w:t>Best Available Control Technology (BACT)</w:t>
      </w:r>
    </w:p>
    <w:p w14:paraId="0518E736" w14:textId="77777777" w:rsidR="00136314" w:rsidRDefault="002641CC" w:rsidP="00186ADC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lastRenderedPageBreak/>
        <w:t>The District’s rules require that we calculate</w:t>
      </w:r>
      <w:r w:rsidR="007778DF">
        <w:rPr>
          <w:rFonts w:ascii="Calibri" w:hAnsi="Calibri"/>
          <w:color w:val="auto"/>
          <w:sz w:val="23"/>
          <w:szCs w:val="23"/>
        </w:rPr>
        <w:t xml:space="preserve"> emissions in two ways</w:t>
      </w:r>
      <w:r w:rsidR="008C1484">
        <w:rPr>
          <w:rFonts w:ascii="Calibri" w:hAnsi="Calibri"/>
          <w:color w:val="auto"/>
          <w:sz w:val="23"/>
          <w:szCs w:val="23"/>
        </w:rPr>
        <w:t>:</w:t>
      </w:r>
      <w:r w:rsidR="007778DF">
        <w:rPr>
          <w:rFonts w:ascii="Calibri" w:hAnsi="Calibri"/>
          <w:color w:val="auto"/>
          <w:sz w:val="23"/>
          <w:szCs w:val="23"/>
        </w:rPr>
        <w:t xml:space="preserve"> </w:t>
      </w:r>
      <w:r>
        <w:rPr>
          <w:rFonts w:ascii="Calibri" w:hAnsi="Calibri"/>
          <w:color w:val="auto"/>
          <w:sz w:val="23"/>
          <w:szCs w:val="23"/>
        </w:rPr>
        <w:t>(1) each piece of equipment subject to permitting and (2) the entire facility</w:t>
      </w:r>
      <w:r w:rsidR="008C1484">
        <w:rPr>
          <w:rFonts w:ascii="Calibri" w:hAnsi="Calibri"/>
          <w:color w:val="auto"/>
          <w:sz w:val="23"/>
          <w:szCs w:val="23"/>
        </w:rPr>
        <w:t>,</w:t>
      </w:r>
      <w:r>
        <w:rPr>
          <w:rFonts w:ascii="Calibri" w:hAnsi="Calibri"/>
          <w:color w:val="auto"/>
          <w:sz w:val="23"/>
          <w:szCs w:val="23"/>
        </w:rPr>
        <w:t xml:space="preserve"> to determine whether Best Available Control Technology (BACT) is required. For example, e</w:t>
      </w:r>
      <w:r w:rsidRPr="002641CC">
        <w:rPr>
          <w:rFonts w:ascii="Calibri" w:hAnsi="Calibri"/>
          <w:color w:val="auto"/>
          <w:sz w:val="23"/>
          <w:szCs w:val="23"/>
        </w:rPr>
        <w:t xml:space="preserve">ach </w:t>
      </w:r>
      <w:r w:rsidR="00DB0DC0">
        <w:rPr>
          <w:rFonts w:ascii="Calibri" w:hAnsi="Calibri"/>
          <w:color w:val="auto"/>
          <w:sz w:val="23"/>
          <w:szCs w:val="23"/>
        </w:rPr>
        <w:t>engine</w:t>
      </w:r>
      <w:r w:rsidR="00376908">
        <w:rPr>
          <w:rFonts w:ascii="Calibri" w:hAnsi="Calibri"/>
          <w:color w:val="auto"/>
          <w:sz w:val="23"/>
          <w:szCs w:val="23"/>
        </w:rPr>
        <w:t xml:space="preserve"> </w:t>
      </w:r>
      <w:r w:rsidRPr="002641CC">
        <w:rPr>
          <w:rFonts w:ascii="Calibri" w:hAnsi="Calibri"/>
          <w:color w:val="auto"/>
          <w:sz w:val="23"/>
          <w:szCs w:val="23"/>
        </w:rPr>
        <w:t xml:space="preserve">with a potential to emit </w:t>
      </w:r>
      <w:r w:rsidR="00322788">
        <w:rPr>
          <w:rFonts w:ascii="Calibri" w:hAnsi="Calibri"/>
          <w:color w:val="auto"/>
          <w:sz w:val="23"/>
          <w:szCs w:val="23"/>
        </w:rPr>
        <w:t xml:space="preserve">of </w:t>
      </w:r>
      <w:r w:rsidRPr="002641CC">
        <w:rPr>
          <w:rFonts w:ascii="Calibri" w:hAnsi="Calibri"/>
          <w:color w:val="auto"/>
          <w:sz w:val="23"/>
          <w:szCs w:val="23"/>
        </w:rPr>
        <w:t xml:space="preserve">25 lbs/day or greater of </w:t>
      </w:r>
      <w:r w:rsidR="00DB0DC0">
        <w:rPr>
          <w:rFonts w:ascii="Calibri" w:hAnsi="Calibri"/>
          <w:color w:val="auto"/>
          <w:sz w:val="23"/>
          <w:szCs w:val="23"/>
        </w:rPr>
        <w:t>oxides of nitrogen (N</w:t>
      </w:r>
      <w:r w:rsidR="00BF0EF6">
        <w:rPr>
          <w:rFonts w:ascii="Calibri" w:hAnsi="Calibri"/>
          <w:color w:val="auto"/>
          <w:sz w:val="23"/>
          <w:szCs w:val="23"/>
        </w:rPr>
        <w:t>O</w:t>
      </w:r>
      <w:r w:rsidR="00BF0EF6" w:rsidRPr="00186ADC">
        <w:rPr>
          <w:rFonts w:ascii="Calibri" w:hAnsi="Calibri"/>
          <w:color w:val="auto"/>
          <w:sz w:val="23"/>
          <w:szCs w:val="23"/>
          <w:vertAlign w:val="subscript"/>
        </w:rPr>
        <w:t>x</w:t>
      </w:r>
      <w:r w:rsidR="00BF0EF6">
        <w:rPr>
          <w:rFonts w:ascii="Calibri" w:hAnsi="Calibri"/>
          <w:color w:val="auto"/>
          <w:sz w:val="23"/>
          <w:szCs w:val="23"/>
        </w:rPr>
        <w:t>)</w:t>
      </w:r>
      <w:r w:rsidR="00812525">
        <w:rPr>
          <w:rFonts w:ascii="Calibri" w:hAnsi="Calibri"/>
          <w:color w:val="auto"/>
          <w:sz w:val="23"/>
          <w:szCs w:val="23"/>
        </w:rPr>
        <w:t>, or Volatile Organic Compounds (VOC)</w:t>
      </w:r>
      <w:r>
        <w:rPr>
          <w:rFonts w:ascii="Calibri" w:hAnsi="Calibri"/>
          <w:color w:val="auto"/>
          <w:sz w:val="23"/>
          <w:szCs w:val="23"/>
        </w:rPr>
        <w:t xml:space="preserve"> is subject to BACT. </w:t>
      </w:r>
      <w:r w:rsidRPr="002641CC">
        <w:rPr>
          <w:rFonts w:ascii="Calibri" w:hAnsi="Calibri"/>
          <w:color w:val="auto"/>
          <w:sz w:val="23"/>
          <w:szCs w:val="23"/>
        </w:rPr>
        <w:t xml:space="preserve"> </w:t>
      </w:r>
      <w:r>
        <w:rPr>
          <w:rFonts w:ascii="Calibri" w:hAnsi="Calibri"/>
          <w:color w:val="auto"/>
          <w:sz w:val="23"/>
          <w:szCs w:val="23"/>
        </w:rPr>
        <w:t>Also,</w:t>
      </w:r>
      <w:r w:rsidRPr="002641CC">
        <w:rPr>
          <w:rFonts w:ascii="Calibri" w:hAnsi="Calibri"/>
          <w:color w:val="auto"/>
          <w:sz w:val="23"/>
          <w:szCs w:val="23"/>
        </w:rPr>
        <w:t xml:space="preserve"> </w:t>
      </w:r>
      <w:r>
        <w:rPr>
          <w:rFonts w:ascii="Calibri" w:hAnsi="Calibri"/>
          <w:color w:val="auto"/>
          <w:sz w:val="23"/>
          <w:szCs w:val="23"/>
        </w:rPr>
        <w:t xml:space="preserve">if </w:t>
      </w:r>
      <w:r w:rsidRPr="002641CC">
        <w:rPr>
          <w:rFonts w:ascii="Calibri" w:hAnsi="Calibri"/>
          <w:color w:val="auto"/>
          <w:sz w:val="23"/>
          <w:szCs w:val="23"/>
        </w:rPr>
        <w:t xml:space="preserve">the </w:t>
      </w:r>
      <w:r w:rsidR="007778DF">
        <w:rPr>
          <w:rFonts w:ascii="Calibri" w:hAnsi="Calibri"/>
          <w:color w:val="auto"/>
          <w:sz w:val="23"/>
          <w:szCs w:val="23"/>
        </w:rPr>
        <w:t>total emissions from all</w:t>
      </w:r>
      <w:r w:rsidRPr="002641CC">
        <w:rPr>
          <w:rFonts w:ascii="Calibri" w:hAnsi="Calibri"/>
          <w:color w:val="auto"/>
          <w:sz w:val="23"/>
          <w:szCs w:val="23"/>
        </w:rPr>
        <w:t xml:space="preserve"> permit units at a stationary source </w:t>
      </w:r>
      <w:r w:rsidR="007778DF">
        <w:rPr>
          <w:rFonts w:ascii="Calibri" w:hAnsi="Calibri"/>
          <w:color w:val="auto"/>
          <w:sz w:val="23"/>
          <w:szCs w:val="23"/>
        </w:rPr>
        <w:t>has a</w:t>
      </w:r>
      <w:r w:rsidRPr="002641CC">
        <w:rPr>
          <w:rFonts w:ascii="Calibri" w:hAnsi="Calibri"/>
          <w:color w:val="auto"/>
          <w:sz w:val="23"/>
          <w:szCs w:val="23"/>
        </w:rPr>
        <w:t xml:space="preserve"> potential to emit </w:t>
      </w:r>
      <w:r w:rsidR="00322788">
        <w:rPr>
          <w:rFonts w:ascii="Calibri" w:hAnsi="Calibri"/>
          <w:color w:val="auto"/>
          <w:sz w:val="23"/>
          <w:szCs w:val="23"/>
        </w:rPr>
        <w:t xml:space="preserve">of </w:t>
      </w:r>
      <w:r w:rsidRPr="002641CC">
        <w:rPr>
          <w:rFonts w:ascii="Calibri" w:hAnsi="Calibri"/>
          <w:color w:val="auto"/>
          <w:sz w:val="23"/>
          <w:szCs w:val="23"/>
        </w:rPr>
        <w:t xml:space="preserve">150 lbs/day or greater of </w:t>
      </w:r>
      <w:r w:rsidR="00BF0EF6">
        <w:rPr>
          <w:rFonts w:ascii="Calibri" w:hAnsi="Calibri"/>
          <w:color w:val="auto"/>
          <w:sz w:val="23"/>
          <w:szCs w:val="23"/>
        </w:rPr>
        <w:t>NOx</w:t>
      </w:r>
      <w:r w:rsidR="007778DF">
        <w:rPr>
          <w:rFonts w:ascii="Calibri" w:hAnsi="Calibri"/>
          <w:color w:val="auto"/>
          <w:sz w:val="23"/>
          <w:szCs w:val="23"/>
        </w:rPr>
        <w:t xml:space="preserve">, then the source is </w:t>
      </w:r>
      <w:r w:rsidRPr="002641CC">
        <w:rPr>
          <w:rFonts w:ascii="Calibri" w:hAnsi="Calibri"/>
          <w:color w:val="auto"/>
          <w:sz w:val="23"/>
          <w:szCs w:val="23"/>
        </w:rPr>
        <w:t>subject to the BACT requirements.</w:t>
      </w:r>
      <w:r w:rsidR="00812525">
        <w:rPr>
          <w:rFonts w:ascii="Calibri" w:hAnsi="Calibri"/>
          <w:color w:val="auto"/>
          <w:sz w:val="23"/>
          <w:szCs w:val="23"/>
        </w:rPr>
        <w:t xml:space="preserve"> A complete list of stationary source BACT thresholds can be found in Table 4.1.1 of District Rule 207, Review of New or Modified Sources,</w:t>
      </w:r>
      <w:r w:rsidR="00136314">
        <w:rPr>
          <w:rFonts w:ascii="Calibri" w:hAnsi="Calibri"/>
          <w:color w:val="auto"/>
          <w:sz w:val="23"/>
          <w:szCs w:val="23"/>
        </w:rPr>
        <w:t xml:space="preserve"> </w:t>
      </w:r>
      <w:hyperlink r:id="rId10" w:history="1">
        <w:r w:rsidR="00136314" w:rsidRPr="00786936">
          <w:rPr>
            <w:rStyle w:val="Hyperlink"/>
            <w:rFonts w:ascii="Calibri" w:hAnsi="Calibri"/>
            <w:sz w:val="23"/>
            <w:szCs w:val="23"/>
          </w:rPr>
          <w:t>https://www.arb.ca.gov/drdb/mbu/curhtml/R207.PDF</w:t>
        </w:r>
      </w:hyperlink>
      <w:r w:rsidR="00DF4261">
        <w:rPr>
          <w:rFonts w:ascii="Calibri" w:hAnsi="Calibri"/>
          <w:color w:val="auto"/>
          <w:sz w:val="23"/>
          <w:szCs w:val="23"/>
        </w:rPr>
        <w:t>.</w:t>
      </w:r>
    </w:p>
    <w:p w14:paraId="276ABCC3" w14:textId="77777777" w:rsidR="009A2FA3" w:rsidRDefault="009A2FA3" w:rsidP="00186ADC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</w:p>
    <w:p w14:paraId="0220DD6C" w14:textId="107C9008" w:rsidR="00CE1EF5" w:rsidRDefault="00AB3846" w:rsidP="00931C13">
      <w:pPr>
        <w:pStyle w:val="Default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 xml:space="preserve">The District has </w:t>
      </w:r>
      <w:r w:rsidR="00C137C8">
        <w:rPr>
          <w:rFonts w:ascii="Calibri" w:hAnsi="Calibri"/>
          <w:color w:val="auto"/>
          <w:sz w:val="23"/>
          <w:szCs w:val="23"/>
        </w:rPr>
        <w:t>set</w:t>
      </w:r>
      <w:r>
        <w:rPr>
          <w:rFonts w:ascii="Calibri" w:hAnsi="Calibri"/>
          <w:color w:val="auto"/>
          <w:sz w:val="23"/>
          <w:szCs w:val="23"/>
        </w:rPr>
        <w:t xml:space="preserve"> BACT </w:t>
      </w:r>
      <w:r w:rsidR="00C137C8">
        <w:rPr>
          <w:rFonts w:ascii="Calibri" w:hAnsi="Calibri"/>
          <w:color w:val="auto"/>
          <w:sz w:val="23"/>
          <w:szCs w:val="23"/>
        </w:rPr>
        <w:t xml:space="preserve">requirements </w:t>
      </w:r>
      <w:r w:rsidR="00CE5BC5">
        <w:rPr>
          <w:rFonts w:ascii="Calibri" w:hAnsi="Calibri"/>
          <w:color w:val="auto"/>
          <w:sz w:val="23"/>
          <w:szCs w:val="23"/>
        </w:rPr>
        <w:t>for</w:t>
      </w:r>
      <w:r>
        <w:rPr>
          <w:rFonts w:ascii="Calibri" w:hAnsi="Calibri"/>
          <w:color w:val="auto"/>
          <w:sz w:val="23"/>
          <w:szCs w:val="23"/>
        </w:rPr>
        <w:t xml:space="preserve"> the following</w:t>
      </w:r>
      <w:r w:rsidR="00C137C8">
        <w:rPr>
          <w:rFonts w:ascii="Calibri" w:hAnsi="Calibri"/>
          <w:color w:val="auto"/>
          <w:sz w:val="23"/>
          <w:szCs w:val="23"/>
        </w:rPr>
        <w:t xml:space="preserve"> </w:t>
      </w:r>
      <w:r w:rsidR="0036738B">
        <w:rPr>
          <w:rFonts w:ascii="Calibri" w:hAnsi="Calibri"/>
          <w:color w:val="auto"/>
          <w:sz w:val="23"/>
          <w:szCs w:val="23"/>
        </w:rPr>
        <w:t>IC</w:t>
      </w:r>
      <w:r w:rsidR="00CE5BC5">
        <w:rPr>
          <w:rFonts w:ascii="Calibri" w:hAnsi="Calibri"/>
          <w:color w:val="auto"/>
          <w:sz w:val="23"/>
          <w:szCs w:val="23"/>
        </w:rPr>
        <w:t xml:space="preserve"> </w:t>
      </w:r>
      <w:r w:rsidR="00C137C8">
        <w:rPr>
          <w:rFonts w:ascii="Calibri" w:hAnsi="Calibri"/>
          <w:color w:val="auto"/>
          <w:sz w:val="23"/>
          <w:szCs w:val="23"/>
        </w:rPr>
        <w:t>engine applications:</w:t>
      </w:r>
      <w:r w:rsidR="00E20C4B">
        <w:rPr>
          <w:rFonts w:ascii="Calibri" w:hAnsi="Calibri"/>
          <w:color w:val="auto"/>
          <w:sz w:val="23"/>
          <w:szCs w:val="23"/>
        </w:rPr>
        <w:t xml:space="preserve"> a)</w:t>
      </w:r>
      <w:r w:rsidR="00C137C8">
        <w:rPr>
          <w:rFonts w:ascii="Calibri" w:hAnsi="Calibri"/>
          <w:color w:val="auto"/>
          <w:sz w:val="23"/>
          <w:szCs w:val="23"/>
        </w:rPr>
        <w:t xml:space="preserve"> Stationary</w:t>
      </w:r>
      <w:r w:rsidR="008F083A">
        <w:rPr>
          <w:rFonts w:ascii="Calibri" w:hAnsi="Calibri"/>
          <w:color w:val="auto"/>
          <w:sz w:val="23"/>
          <w:szCs w:val="23"/>
        </w:rPr>
        <w:t xml:space="preserve"> –</w:t>
      </w:r>
      <w:r w:rsidR="00C137C8">
        <w:rPr>
          <w:rFonts w:ascii="Calibri" w:hAnsi="Calibri"/>
          <w:color w:val="auto"/>
          <w:sz w:val="23"/>
          <w:szCs w:val="23"/>
        </w:rPr>
        <w:t xml:space="preserve"> Emergency</w:t>
      </w:r>
      <w:r w:rsidR="008F083A">
        <w:rPr>
          <w:rFonts w:ascii="Calibri" w:hAnsi="Calibri"/>
          <w:color w:val="auto"/>
          <w:sz w:val="23"/>
          <w:szCs w:val="23"/>
        </w:rPr>
        <w:t xml:space="preserve"> </w:t>
      </w:r>
      <w:r w:rsidR="00270D52">
        <w:rPr>
          <w:rFonts w:ascii="Calibri" w:hAnsi="Calibri"/>
          <w:color w:val="auto"/>
          <w:sz w:val="23"/>
          <w:szCs w:val="23"/>
        </w:rPr>
        <w:t>e</w:t>
      </w:r>
      <w:r w:rsidR="00FD677C">
        <w:rPr>
          <w:rFonts w:ascii="Calibri" w:hAnsi="Calibri"/>
          <w:color w:val="auto"/>
          <w:sz w:val="23"/>
          <w:szCs w:val="23"/>
        </w:rPr>
        <w:t>ngines</w:t>
      </w:r>
      <w:r w:rsidR="00C137C8">
        <w:rPr>
          <w:rFonts w:ascii="Calibri" w:hAnsi="Calibri"/>
          <w:color w:val="auto"/>
          <w:sz w:val="23"/>
          <w:szCs w:val="23"/>
        </w:rPr>
        <w:t xml:space="preserve">, </w:t>
      </w:r>
      <w:r w:rsidR="008F083A">
        <w:rPr>
          <w:rFonts w:ascii="Calibri" w:hAnsi="Calibri"/>
          <w:color w:val="auto"/>
          <w:sz w:val="23"/>
          <w:szCs w:val="23"/>
        </w:rPr>
        <w:t xml:space="preserve">b) Stationary – </w:t>
      </w:r>
      <w:r w:rsidR="00FD677C">
        <w:rPr>
          <w:rFonts w:ascii="Calibri" w:hAnsi="Calibri"/>
          <w:color w:val="auto"/>
          <w:sz w:val="23"/>
          <w:szCs w:val="23"/>
        </w:rPr>
        <w:t>Non-e</w:t>
      </w:r>
      <w:r w:rsidR="008F083A">
        <w:rPr>
          <w:rFonts w:ascii="Calibri" w:hAnsi="Calibri"/>
          <w:color w:val="auto"/>
          <w:sz w:val="23"/>
          <w:szCs w:val="23"/>
        </w:rPr>
        <w:t xml:space="preserve">mergency </w:t>
      </w:r>
      <w:r w:rsidR="00270D52">
        <w:rPr>
          <w:rFonts w:ascii="Calibri" w:hAnsi="Calibri"/>
          <w:color w:val="auto"/>
          <w:sz w:val="23"/>
          <w:szCs w:val="23"/>
        </w:rPr>
        <w:t>engines</w:t>
      </w:r>
      <w:r w:rsidR="008F083A">
        <w:rPr>
          <w:rFonts w:ascii="Calibri" w:hAnsi="Calibri"/>
          <w:color w:val="auto"/>
          <w:sz w:val="23"/>
          <w:szCs w:val="23"/>
        </w:rPr>
        <w:t>.  The BACT emission standards for each category are provided in the following Tables</w:t>
      </w:r>
      <w:r w:rsidR="006124FF">
        <w:rPr>
          <w:rFonts w:ascii="Calibri" w:hAnsi="Calibri"/>
          <w:color w:val="auto"/>
          <w:sz w:val="23"/>
          <w:szCs w:val="23"/>
        </w:rPr>
        <w:t xml:space="preserve"> 1 - </w:t>
      </w:r>
      <w:r w:rsidR="008E7B72">
        <w:rPr>
          <w:rFonts w:ascii="Calibri" w:hAnsi="Calibri"/>
          <w:color w:val="auto"/>
          <w:sz w:val="23"/>
          <w:szCs w:val="23"/>
        </w:rPr>
        <w:t>2</w:t>
      </w:r>
      <w:r w:rsidR="008F083A">
        <w:rPr>
          <w:rFonts w:ascii="Calibri" w:hAnsi="Calibri"/>
          <w:color w:val="auto"/>
          <w:sz w:val="23"/>
          <w:szCs w:val="23"/>
        </w:rPr>
        <w:t>.</w:t>
      </w:r>
    </w:p>
    <w:p w14:paraId="54D56C1D" w14:textId="77777777" w:rsidR="00C137C8" w:rsidRDefault="00C137C8" w:rsidP="00931C13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</w:p>
    <w:p w14:paraId="1AA18023" w14:textId="77777777" w:rsidR="00C75E17" w:rsidRPr="00C75E17" w:rsidRDefault="00C75E17" w:rsidP="00C75E17">
      <w:pPr>
        <w:pStyle w:val="Caption"/>
        <w:keepNext/>
        <w:spacing w:after="0"/>
        <w:rPr>
          <w:rFonts w:asciiTheme="minorHAnsi" w:hAnsiTheme="minorHAnsi"/>
          <w:b/>
          <w:i w:val="0"/>
          <w:color w:val="auto"/>
          <w:sz w:val="22"/>
          <w:szCs w:val="22"/>
        </w:rPr>
      </w:pPr>
      <w:r w:rsidRPr="00C75E17">
        <w:rPr>
          <w:rFonts w:asciiTheme="minorHAnsi" w:hAnsiTheme="minorHAnsi"/>
          <w:b/>
          <w:i w:val="0"/>
          <w:color w:val="auto"/>
          <w:sz w:val="22"/>
          <w:szCs w:val="22"/>
        </w:rPr>
        <w:t xml:space="preserve">Table </w:t>
      </w:r>
      <w:r w:rsidRPr="00C75E17">
        <w:rPr>
          <w:rFonts w:asciiTheme="minorHAnsi" w:hAnsiTheme="minorHAnsi"/>
          <w:b/>
          <w:i w:val="0"/>
          <w:color w:val="auto"/>
          <w:sz w:val="22"/>
          <w:szCs w:val="22"/>
        </w:rPr>
        <w:fldChar w:fldCharType="begin"/>
      </w:r>
      <w:r w:rsidRPr="00C75E17">
        <w:rPr>
          <w:rFonts w:asciiTheme="minorHAnsi" w:hAnsiTheme="minorHAnsi"/>
          <w:b/>
          <w:i w:val="0"/>
          <w:color w:val="auto"/>
          <w:sz w:val="22"/>
          <w:szCs w:val="22"/>
        </w:rPr>
        <w:instrText xml:space="preserve"> SEQ Table \* ARABIC </w:instrText>
      </w:r>
      <w:r w:rsidRPr="00C75E17">
        <w:rPr>
          <w:rFonts w:asciiTheme="minorHAnsi" w:hAnsiTheme="minorHAnsi"/>
          <w:b/>
          <w:i w:val="0"/>
          <w:color w:val="auto"/>
          <w:sz w:val="22"/>
          <w:szCs w:val="22"/>
        </w:rPr>
        <w:fldChar w:fldCharType="separate"/>
      </w:r>
      <w:r w:rsidR="00B517E0">
        <w:rPr>
          <w:rFonts w:asciiTheme="minorHAnsi" w:hAnsiTheme="minorHAnsi"/>
          <w:b/>
          <w:i w:val="0"/>
          <w:noProof/>
          <w:color w:val="auto"/>
          <w:sz w:val="22"/>
          <w:szCs w:val="22"/>
        </w:rPr>
        <w:t>1</w:t>
      </w:r>
      <w:r w:rsidRPr="00C75E17">
        <w:rPr>
          <w:rFonts w:asciiTheme="minorHAnsi" w:hAnsiTheme="minorHAnsi"/>
          <w:b/>
          <w:i w:val="0"/>
          <w:color w:val="auto"/>
          <w:sz w:val="22"/>
          <w:szCs w:val="22"/>
        </w:rPr>
        <w:fldChar w:fldCharType="end"/>
      </w:r>
      <w:r w:rsidRPr="00C75E17">
        <w:rPr>
          <w:rFonts w:asciiTheme="minorHAnsi" w:hAnsiTheme="minorHAnsi"/>
          <w:b/>
          <w:i w:val="0"/>
          <w:color w:val="auto"/>
          <w:sz w:val="22"/>
          <w:szCs w:val="22"/>
        </w:rPr>
        <w:t>.  BACT GUIDELINES FOR STATIONARY, EMERGENCY.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731"/>
        <w:gridCol w:w="2731"/>
        <w:gridCol w:w="2731"/>
      </w:tblGrid>
      <w:tr w:rsidR="00054C0E" w:rsidRPr="005568CE" w14:paraId="7DC994B4" w14:textId="77777777" w:rsidTr="00054C0E">
        <w:tc>
          <w:tcPr>
            <w:tcW w:w="2152" w:type="dxa"/>
            <w:shd w:val="clear" w:color="auto" w:fill="auto"/>
            <w:vAlign w:val="center"/>
          </w:tcPr>
          <w:p w14:paraId="40BD6BE6" w14:textId="77777777" w:rsidR="00054C0E" w:rsidRPr="005568C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 w:rsidRPr="005568CE">
              <w:rPr>
                <w:rFonts w:ascii="Calibri" w:hAnsi="Calibri"/>
                <w:color w:val="auto"/>
                <w:sz w:val="23"/>
                <w:szCs w:val="23"/>
              </w:rPr>
              <w:t>Engine Rating/Size</w:t>
            </w:r>
          </w:p>
        </w:tc>
        <w:tc>
          <w:tcPr>
            <w:tcW w:w="2731" w:type="dxa"/>
            <w:vAlign w:val="center"/>
          </w:tcPr>
          <w:p w14:paraId="3DE11E56" w14:textId="77777777" w:rsidR="00054C0E" w:rsidRPr="005568C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PM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055A389" w14:textId="77777777" w:rsidR="00054C0E" w:rsidRPr="006B76A0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 w:rsidRPr="005568CE">
              <w:rPr>
                <w:rFonts w:ascii="Calibri" w:hAnsi="Calibri"/>
                <w:color w:val="auto"/>
                <w:sz w:val="23"/>
                <w:szCs w:val="23"/>
              </w:rPr>
              <w:t>NO</w:t>
            </w:r>
            <w:r w:rsidRPr="00CD49FA">
              <w:rPr>
                <w:rFonts w:ascii="Calibri" w:hAnsi="Calibri"/>
                <w:color w:val="auto"/>
                <w:sz w:val="23"/>
                <w:szCs w:val="23"/>
                <w:vertAlign w:val="subscript"/>
              </w:rPr>
              <w:t>x</w:t>
            </w:r>
            <w:r>
              <w:rPr>
                <w:rFonts w:ascii="Calibri" w:hAnsi="Calibri"/>
                <w:color w:val="auto"/>
                <w:sz w:val="23"/>
                <w:szCs w:val="23"/>
                <w:vertAlign w:val="subscript"/>
              </w:rPr>
              <w:t xml:space="preserve"> </w:t>
            </w:r>
            <w:r>
              <w:rPr>
                <w:rFonts w:ascii="Calibri" w:hAnsi="Calibri"/>
                <w:color w:val="auto"/>
                <w:sz w:val="23"/>
                <w:szCs w:val="23"/>
              </w:rPr>
              <w:t>+ NMHC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06F6D86" w14:textId="77777777" w:rsidR="00054C0E" w:rsidRPr="005568C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CO</w:t>
            </w:r>
          </w:p>
        </w:tc>
      </w:tr>
      <w:tr w:rsidR="00054C0E" w:rsidRPr="005568CE" w14:paraId="1E2531AC" w14:textId="77777777" w:rsidTr="00054C0E"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AC2B0" w14:textId="77777777" w:rsidR="00054C0E" w:rsidRPr="005568C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50 ≤ HP &lt; 100</w:t>
            </w:r>
          </w:p>
        </w:tc>
        <w:tc>
          <w:tcPr>
            <w:tcW w:w="2731" w:type="dxa"/>
          </w:tcPr>
          <w:p w14:paraId="69EBB92B" w14:textId="77777777" w:rsidR="00054C0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0.15 g/bhp-hr, or</w:t>
            </w:r>
          </w:p>
          <w:p w14:paraId="132BA1A8" w14:textId="77777777" w:rsidR="00054C0E" w:rsidRPr="005568C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0.20 g/kW-hr</w:t>
            </w:r>
          </w:p>
        </w:tc>
        <w:tc>
          <w:tcPr>
            <w:tcW w:w="2731" w:type="dxa"/>
            <w:shd w:val="clear" w:color="auto" w:fill="auto"/>
          </w:tcPr>
          <w:p w14:paraId="0BE56740" w14:textId="77777777" w:rsidR="00054C0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3.5 g/bhp-hr, or</w:t>
            </w:r>
          </w:p>
          <w:p w14:paraId="7AB6C515" w14:textId="77777777" w:rsidR="00054C0E" w:rsidRPr="005568C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4.7 g/kW-hr</w:t>
            </w:r>
          </w:p>
        </w:tc>
        <w:tc>
          <w:tcPr>
            <w:tcW w:w="2731" w:type="dxa"/>
            <w:shd w:val="clear" w:color="auto" w:fill="auto"/>
          </w:tcPr>
          <w:p w14:paraId="50B3B7BB" w14:textId="77777777" w:rsidR="00054C0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3.7 g/bph-hr, or</w:t>
            </w:r>
          </w:p>
          <w:p w14:paraId="199C5994" w14:textId="77777777" w:rsidR="00054C0E" w:rsidRPr="005568C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5.0 g/kW-hr</w:t>
            </w:r>
          </w:p>
        </w:tc>
      </w:tr>
      <w:tr w:rsidR="00054C0E" w:rsidRPr="005568CE" w14:paraId="58A16FBF" w14:textId="77777777" w:rsidTr="00054C0E">
        <w:tc>
          <w:tcPr>
            <w:tcW w:w="2152" w:type="dxa"/>
            <w:shd w:val="clear" w:color="auto" w:fill="auto"/>
            <w:vAlign w:val="center"/>
          </w:tcPr>
          <w:p w14:paraId="13EF6216" w14:textId="77777777" w:rsidR="00054C0E" w:rsidRPr="005568C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color w:val="auto"/>
                <w:sz w:val="23"/>
                <w:szCs w:val="23"/>
              </w:rPr>
              <w:t>100 ≤ HP &lt; 175</w:t>
            </w:r>
          </w:p>
        </w:tc>
        <w:tc>
          <w:tcPr>
            <w:tcW w:w="2731" w:type="dxa"/>
          </w:tcPr>
          <w:p w14:paraId="6192AE39" w14:textId="77777777" w:rsidR="00054C0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0.15 g/bhp-hr, or</w:t>
            </w:r>
          </w:p>
          <w:p w14:paraId="53329E71" w14:textId="77777777" w:rsidR="00054C0E" w:rsidRPr="005568C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0.20 g/kW-hr</w:t>
            </w:r>
          </w:p>
        </w:tc>
        <w:tc>
          <w:tcPr>
            <w:tcW w:w="2731" w:type="dxa"/>
            <w:shd w:val="clear" w:color="auto" w:fill="auto"/>
          </w:tcPr>
          <w:p w14:paraId="57F537CE" w14:textId="77777777" w:rsidR="00054C0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3.0 g/bhp-hr, or</w:t>
            </w:r>
          </w:p>
          <w:p w14:paraId="756AC31B" w14:textId="77777777" w:rsidR="00054C0E" w:rsidRPr="005568C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4.0 g/kW-hr</w:t>
            </w:r>
          </w:p>
        </w:tc>
        <w:tc>
          <w:tcPr>
            <w:tcW w:w="2731" w:type="dxa"/>
            <w:shd w:val="clear" w:color="auto" w:fill="auto"/>
          </w:tcPr>
          <w:p w14:paraId="1BCBEAE2" w14:textId="77777777" w:rsidR="00054C0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3.7 g/bph-hr, or</w:t>
            </w:r>
          </w:p>
          <w:p w14:paraId="78FE8E2E" w14:textId="77777777" w:rsidR="00054C0E" w:rsidRPr="005568C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5.0 g/kW-hr</w:t>
            </w:r>
          </w:p>
        </w:tc>
      </w:tr>
      <w:tr w:rsidR="00054C0E" w:rsidRPr="005568CE" w14:paraId="64B61B8E" w14:textId="77777777" w:rsidTr="00054C0E">
        <w:tc>
          <w:tcPr>
            <w:tcW w:w="2152" w:type="dxa"/>
            <w:shd w:val="clear" w:color="auto" w:fill="auto"/>
            <w:vAlign w:val="center"/>
          </w:tcPr>
          <w:p w14:paraId="4448E819" w14:textId="77777777" w:rsidR="00054C0E" w:rsidRDefault="00054C0E" w:rsidP="00054C0E">
            <w:pPr>
              <w:pStyle w:val="Default"/>
              <w:jc w:val="center"/>
              <w:rPr>
                <w:rFonts w:ascii="Calibri" w:hAnsi="Calibri" w:cs="Calibri"/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color w:val="auto"/>
                <w:sz w:val="23"/>
                <w:szCs w:val="23"/>
              </w:rPr>
              <w:t>175 ≤ HP &lt; 750</w:t>
            </w:r>
          </w:p>
        </w:tc>
        <w:tc>
          <w:tcPr>
            <w:tcW w:w="2731" w:type="dxa"/>
          </w:tcPr>
          <w:p w14:paraId="3BFCEEA2" w14:textId="77777777" w:rsidR="00054C0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0.15 g/bhp-hr, or</w:t>
            </w:r>
          </w:p>
          <w:p w14:paraId="715B97BD" w14:textId="77777777" w:rsidR="00054C0E" w:rsidRPr="005568C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0.20 g/kW-hr</w:t>
            </w:r>
          </w:p>
        </w:tc>
        <w:tc>
          <w:tcPr>
            <w:tcW w:w="2731" w:type="dxa"/>
            <w:shd w:val="clear" w:color="auto" w:fill="auto"/>
          </w:tcPr>
          <w:p w14:paraId="61D91429" w14:textId="77777777" w:rsidR="00054C0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3.0 g/bhp-hr, or</w:t>
            </w:r>
          </w:p>
          <w:p w14:paraId="5FE75550" w14:textId="77777777" w:rsidR="00054C0E" w:rsidRPr="005568C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4.0 g/kW-hr</w:t>
            </w:r>
          </w:p>
        </w:tc>
        <w:tc>
          <w:tcPr>
            <w:tcW w:w="2731" w:type="dxa"/>
            <w:shd w:val="clear" w:color="auto" w:fill="auto"/>
          </w:tcPr>
          <w:p w14:paraId="48C0D7E5" w14:textId="77777777" w:rsidR="00054C0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2.6 g/bph-hr, or</w:t>
            </w:r>
          </w:p>
          <w:p w14:paraId="2927535F" w14:textId="77777777" w:rsidR="00054C0E" w:rsidRPr="005568C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3.5 g/kW-hr</w:t>
            </w:r>
          </w:p>
        </w:tc>
      </w:tr>
      <w:tr w:rsidR="00054C0E" w:rsidRPr="005568CE" w14:paraId="571232F2" w14:textId="77777777" w:rsidTr="00054C0E"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C11B2" w14:textId="77777777" w:rsidR="00054C0E" w:rsidRDefault="00054C0E" w:rsidP="00054C0E">
            <w:pPr>
              <w:pStyle w:val="Default"/>
              <w:jc w:val="center"/>
              <w:rPr>
                <w:rFonts w:ascii="Calibri" w:hAnsi="Calibri" w:cs="Calibri"/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color w:val="auto"/>
                <w:sz w:val="23"/>
                <w:szCs w:val="23"/>
              </w:rPr>
              <w:t>≥750</w:t>
            </w:r>
          </w:p>
        </w:tc>
        <w:tc>
          <w:tcPr>
            <w:tcW w:w="2731" w:type="dxa"/>
          </w:tcPr>
          <w:p w14:paraId="364F9DDA" w14:textId="77777777" w:rsidR="00054C0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0.15 g/bhp-hr, or</w:t>
            </w:r>
          </w:p>
          <w:p w14:paraId="276772EA" w14:textId="77777777" w:rsidR="00054C0E" w:rsidRPr="005568C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0.20 g/kW-hr</w:t>
            </w:r>
          </w:p>
        </w:tc>
        <w:tc>
          <w:tcPr>
            <w:tcW w:w="2731" w:type="dxa"/>
            <w:shd w:val="clear" w:color="auto" w:fill="auto"/>
          </w:tcPr>
          <w:p w14:paraId="46B02FC2" w14:textId="77777777" w:rsidR="00054C0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4.8 g/bhp-hr, or</w:t>
            </w:r>
          </w:p>
          <w:p w14:paraId="7024FA84" w14:textId="77777777" w:rsidR="00054C0E" w:rsidRPr="005568C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6.4 g/kW-hr</w:t>
            </w:r>
          </w:p>
        </w:tc>
        <w:tc>
          <w:tcPr>
            <w:tcW w:w="2731" w:type="dxa"/>
            <w:shd w:val="clear" w:color="auto" w:fill="auto"/>
          </w:tcPr>
          <w:p w14:paraId="55ABA060" w14:textId="77777777" w:rsidR="00054C0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2.6 g/bph-hr, or</w:t>
            </w:r>
          </w:p>
          <w:p w14:paraId="3434579F" w14:textId="77777777" w:rsidR="00054C0E" w:rsidRPr="005568C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3.5 g/kW-hr</w:t>
            </w:r>
          </w:p>
        </w:tc>
      </w:tr>
    </w:tbl>
    <w:p w14:paraId="703952FD" w14:textId="77777777" w:rsidR="00C137C8" w:rsidRDefault="00C137C8" w:rsidP="008F1CFF"/>
    <w:p w14:paraId="6231B562" w14:textId="77777777" w:rsidR="00B517E0" w:rsidRPr="00B517E0" w:rsidRDefault="00B517E0" w:rsidP="00B517E0">
      <w:pPr>
        <w:pStyle w:val="Caption"/>
        <w:keepNext/>
        <w:spacing w:after="0"/>
        <w:rPr>
          <w:rFonts w:asciiTheme="minorHAnsi" w:hAnsiTheme="minorHAnsi"/>
          <w:b/>
          <w:i w:val="0"/>
          <w:color w:val="auto"/>
          <w:sz w:val="23"/>
          <w:szCs w:val="23"/>
        </w:rPr>
      </w:pPr>
      <w:r w:rsidRPr="00B517E0">
        <w:rPr>
          <w:rFonts w:asciiTheme="minorHAnsi" w:hAnsiTheme="minorHAnsi"/>
          <w:b/>
          <w:i w:val="0"/>
          <w:color w:val="auto"/>
          <w:sz w:val="23"/>
          <w:szCs w:val="23"/>
        </w:rPr>
        <w:t xml:space="preserve">Table </w:t>
      </w:r>
      <w:r w:rsidRPr="00B517E0">
        <w:rPr>
          <w:rFonts w:asciiTheme="minorHAnsi" w:hAnsiTheme="minorHAnsi"/>
          <w:b/>
          <w:i w:val="0"/>
          <w:color w:val="auto"/>
          <w:sz w:val="23"/>
          <w:szCs w:val="23"/>
        </w:rPr>
        <w:fldChar w:fldCharType="begin"/>
      </w:r>
      <w:r w:rsidRPr="00B517E0">
        <w:rPr>
          <w:rFonts w:asciiTheme="minorHAnsi" w:hAnsiTheme="minorHAnsi"/>
          <w:b/>
          <w:i w:val="0"/>
          <w:color w:val="auto"/>
          <w:sz w:val="23"/>
          <w:szCs w:val="23"/>
        </w:rPr>
        <w:instrText xml:space="preserve"> SEQ Table \* ARABIC </w:instrText>
      </w:r>
      <w:r w:rsidRPr="00B517E0">
        <w:rPr>
          <w:rFonts w:asciiTheme="minorHAnsi" w:hAnsiTheme="minorHAnsi"/>
          <w:b/>
          <w:i w:val="0"/>
          <w:color w:val="auto"/>
          <w:sz w:val="23"/>
          <w:szCs w:val="23"/>
        </w:rPr>
        <w:fldChar w:fldCharType="separate"/>
      </w:r>
      <w:r w:rsidRPr="00B517E0">
        <w:rPr>
          <w:rFonts w:asciiTheme="minorHAnsi" w:hAnsiTheme="minorHAnsi"/>
          <w:b/>
          <w:i w:val="0"/>
          <w:noProof/>
          <w:color w:val="auto"/>
          <w:sz w:val="23"/>
          <w:szCs w:val="23"/>
        </w:rPr>
        <w:t>2</w:t>
      </w:r>
      <w:r w:rsidRPr="00B517E0">
        <w:rPr>
          <w:rFonts w:asciiTheme="minorHAnsi" w:hAnsiTheme="minorHAnsi"/>
          <w:b/>
          <w:i w:val="0"/>
          <w:color w:val="auto"/>
          <w:sz w:val="23"/>
          <w:szCs w:val="23"/>
        </w:rPr>
        <w:fldChar w:fldCharType="end"/>
      </w:r>
      <w:r w:rsidRPr="00B517E0">
        <w:rPr>
          <w:rFonts w:asciiTheme="minorHAnsi" w:hAnsiTheme="minorHAnsi"/>
          <w:b/>
          <w:i w:val="0"/>
          <w:color w:val="auto"/>
          <w:sz w:val="23"/>
          <w:szCs w:val="23"/>
        </w:rPr>
        <w:t xml:space="preserve">.  BACT GUIDELINES FOR STATIONARY, </w:t>
      </w:r>
      <w:r w:rsidR="00432855">
        <w:rPr>
          <w:rFonts w:asciiTheme="minorHAnsi" w:hAnsiTheme="minorHAnsi"/>
          <w:b/>
          <w:i w:val="0"/>
          <w:color w:val="auto"/>
          <w:sz w:val="23"/>
          <w:szCs w:val="23"/>
        </w:rPr>
        <w:t>NON-</w:t>
      </w:r>
      <w:r w:rsidRPr="00B517E0">
        <w:rPr>
          <w:rFonts w:asciiTheme="minorHAnsi" w:hAnsiTheme="minorHAnsi"/>
          <w:b/>
          <w:i w:val="0"/>
          <w:color w:val="auto"/>
          <w:sz w:val="23"/>
          <w:szCs w:val="23"/>
        </w:rPr>
        <w:t>EMERGENCY</w:t>
      </w:r>
      <w:r w:rsidR="00270D52">
        <w:rPr>
          <w:rFonts w:asciiTheme="minorHAnsi" w:hAnsiTheme="minorHAnsi"/>
          <w:b/>
          <w:i w:val="0"/>
          <w:color w:val="auto"/>
          <w:sz w:val="23"/>
          <w:szCs w:val="23"/>
        </w:rPr>
        <w:t>.</w:t>
      </w: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706"/>
        <w:gridCol w:w="1706"/>
        <w:gridCol w:w="1706"/>
        <w:gridCol w:w="1706"/>
        <w:gridCol w:w="1707"/>
      </w:tblGrid>
      <w:tr w:rsidR="00054C0E" w:rsidRPr="005568CE" w14:paraId="6E23627A" w14:textId="77777777" w:rsidTr="00836D50">
        <w:tc>
          <w:tcPr>
            <w:tcW w:w="1885" w:type="dxa"/>
            <w:shd w:val="clear" w:color="auto" w:fill="auto"/>
            <w:vAlign w:val="center"/>
          </w:tcPr>
          <w:p w14:paraId="28086C03" w14:textId="77777777" w:rsidR="00054C0E" w:rsidRPr="005568C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 w:rsidRPr="005568CE">
              <w:rPr>
                <w:rFonts w:ascii="Calibri" w:hAnsi="Calibri"/>
                <w:color w:val="auto"/>
                <w:sz w:val="23"/>
                <w:szCs w:val="23"/>
              </w:rPr>
              <w:t>Engine Rating/Size</w:t>
            </w:r>
          </w:p>
        </w:tc>
        <w:tc>
          <w:tcPr>
            <w:tcW w:w="1706" w:type="dxa"/>
            <w:vAlign w:val="center"/>
          </w:tcPr>
          <w:p w14:paraId="662468C8" w14:textId="77777777" w:rsidR="00054C0E" w:rsidRPr="005568C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PM</w:t>
            </w:r>
          </w:p>
        </w:tc>
        <w:tc>
          <w:tcPr>
            <w:tcW w:w="1706" w:type="dxa"/>
            <w:vAlign w:val="center"/>
          </w:tcPr>
          <w:p w14:paraId="1DD4BB9E" w14:textId="77777777" w:rsidR="00054C0E" w:rsidRPr="005568C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NO</w:t>
            </w:r>
            <w:r w:rsidRPr="00054C0E">
              <w:rPr>
                <w:rFonts w:ascii="Calibri" w:hAnsi="Calibri"/>
                <w:color w:val="auto"/>
                <w:sz w:val="23"/>
                <w:szCs w:val="23"/>
                <w:vertAlign w:val="subscript"/>
              </w:rPr>
              <w:t>x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52E52A7" w14:textId="77777777" w:rsidR="00054C0E" w:rsidRPr="006B76A0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 w:rsidRPr="005568CE">
              <w:rPr>
                <w:rFonts w:ascii="Calibri" w:hAnsi="Calibri"/>
                <w:color w:val="auto"/>
                <w:sz w:val="23"/>
                <w:szCs w:val="23"/>
              </w:rPr>
              <w:t>NO</w:t>
            </w:r>
            <w:r w:rsidRPr="00CD49FA">
              <w:rPr>
                <w:rFonts w:ascii="Calibri" w:hAnsi="Calibri"/>
                <w:color w:val="auto"/>
                <w:sz w:val="23"/>
                <w:szCs w:val="23"/>
                <w:vertAlign w:val="subscript"/>
              </w:rPr>
              <w:t>x</w:t>
            </w:r>
            <w:r>
              <w:rPr>
                <w:rFonts w:ascii="Calibri" w:hAnsi="Calibri"/>
                <w:color w:val="auto"/>
                <w:sz w:val="23"/>
                <w:szCs w:val="23"/>
                <w:vertAlign w:val="subscript"/>
              </w:rPr>
              <w:t xml:space="preserve"> </w:t>
            </w:r>
            <w:r>
              <w:rPr>
                <w:rFonts w:ascii="Calibri" w:hAnsi="Calibri"/>
                <w:color w:val="auto"/>
                <w:sz w:val="23"/>
                <w:szCs w:val="23"/>
              </w:rPr>
              <w:t>+ NMHC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D257143" w14:textId="77777777" w:rsidR="00054C0E" w:rsidRPr="005568C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NMHC</w:t>
            </w:r>
          </w:p>
        </w:tc>
        <w:tc>
          <w:tcPr>
            <w:tcW w:w="1707" w:type="dxa"/>
            <w:vAlign w:val="center"/>
          </w:tcPr>
          <w:p w14:paraId="0076F1B5" w14:textId="77777777" w:rsidR="00054C0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CO</w:t>
            </w:r>
          </w:p>
        </w:tc>
      </w:tr>
      <w:tr w:rsidR="00054C0E" w:rsidRPr="005568CE" w14:paraId="2D6C6F16" w14:textId="77777777" w:rsidTr="00836D50"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5C53A" w14:textId="77777777" w:rsidR="00054C0E" w:rsidRPr="005568C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50 ≤ HP &lt; 75</w:t>
            </w:r>
          </w:p>
        </w:tc>
        <w:tc>
          <w:tcPr>
            <w:tcW w:w="1706" w:type="dxa"/>
            <w:vAlign w:val="center"/>
          </w:tcPr>
          <w:p w14:paraId="4CEC1E75" w14:textId="77777777" w:rsidR="00054C0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0.02</w:t>
            </w:r>
            <w:r w:rsidR="00836D50">
              <w:rPr>
                <w:rFonts w:ascii="Calibri" w:hAnsi="Calibri"/>
                <w:color w:val="auto"/>
                <w:sz w:val="23"/>
                <w:szCs w:val="23"/>
              </w:rPr>
              <w:t xml:space="preserve"> g/bhp-hr, </w:t>
            </w:r>
          </w:p>
          <w:p w14:paraId="195946EC" w14:textId="77777777" w:rsidR="00054C0E" w:rsidRPr="005568CE" w:rsidRDefault="00836D50" w:rsidP="00836D50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0.03 g/kW-hr</w:t>
            </w:r>
          </w:p>
        </w:tc>
        <w:tc>
          <w:tcPr>
            <w:tcW w:w="1706" w:type="dxa"/>
            <w:vAlign w:val="center"/>
          </w:tcPr>
          <w:p w14:paraId="11028C1A" w14:textId="77777777" w:rsidR="00054C0E" w:rsidRPr="005568C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29C5760C" w14:textId="77777777" w:rsidR="00054C0E" w:rsidRDefault="00836D50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3.5 g/bhp-hr,</w:t>
            </w:r>
          </w:p>
          <w:p w14:paraId="174E7178" w14:textId="77777777" w:rsidR="00836D50" w:rsidRPr="005568CE" w:rsidRDefault="00836D50" w:rsidP="00836D50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4.7 g/kW-hr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763CA88" w14:textId="77777777" w:rsidR="00054C0E" w:rsidRPr="005568CE" w:rsidRDefault="00054C0E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</w:p>
        </w:tc>
        <w:tc>
          <w:tcPr>
            <w:tcW w:w="1707" w:type="dxa"/>
            <w:vAlign w:val="center"/>
          </w:tcPr>
          <w:p w14:paraId="0A5D9741" w14:textId="77777777" w:rsidR="00054C0E" w:rsidRDefault="00836D50" w:rsidP="00054C0E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3.7 g/bhp-hr,</w:t>
            </w:r>
          </w:p>
          <w:p w14:paraId="438055E8" w14:textId="77777777" w:rsidR="00836D50" w:rsidRPr="005568CE" w:rsidRDefault="00836D50" w:rsidP="00836D50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5.0 g/kW-hr</w:t>
            </w:r>
          </w:p>
        </w:tc>
      </w:tr>
      <w:tr w:rsidR="00836D50" w:rsidRPr="005568CE" w14:paraId="6D11D616" w14:textId="77777777" w:rsidTr="00836D50"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E759C" w14:textId="77777777" w:rsidR="00836D50" w:rsidRPr="005568CE" w:rsidRDefault="00836D50" w:rsidP="00836D50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75 ≤ HP &lt; 100</w:t>
            </w:r>
          </w:p>
        </w:tc>
        <w:tc>
          <w:tcPr>
            <w:tcW w:w="1706" w:type="dxa"/>
            <w:vAlign w:val="center"/>
          </w:tcPr>
          <w:p w14:paraId="5E22BA9C" w14:textId="77777777" w:rsidR="00836D50" w:rsidRDefault="00836D50" w:rsidP="00836D50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0.01 g/bhp-hr,</w:t>
            </w:r>
          </w:p>
          <w:p w14:paraId="755DE3D0" w14:textId="77777777" w:rsidR="00836D50" w:rsidRPr="005568CE" w:rsidRDefault="00836D50" w:rsidP="00836D50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0.02 g/kW-hr</w:t>
            </w:r>
          </w:p>
        </w:tc>
        <w:tc>
          <w:tcPr>
            <w:tcW w:w="1706" w:type="dxa"/>
            <w:vAlign w:val="center"/>
          </w:tcPr>
          <w:p w14:paraId="2DF9870B" w14:textId="77777777" w:rsidR="00836D50" w:rsidRDefault="00836D50" w:rsidP="00836D50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0.30 g/bhp-hr,</w:t>
            </w:r>
          </w:p>
          <w:p w14:paraId="58BE7ACD" w14:textId="77777777" w:rsidR="00836D50" w:rsidRPr="005568CE" w:rsidRDefault="00836D50" w:rsidP="00836D50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0.40 g/kW-hr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E79E118" w14:textId="77777777" w:rsidR="00836D50" w:rsidRPr="005568CE" w:rsidRDefault="00836D50" w:rsidP="00836D50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44BD084C" w14:textId="77777777" w:rsidR="00836D50" w:rsidRDefault="00836D50" w:rsidP="00836D50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0.14 g/bhp-hr,</w:t>
            </w:r>
          </w:p>
          <w:p w14:paraId="22F41664" w14:textId="77777777" w:rsidR="00836D50" w:rsidRPr="005568CE" w:rsidRDefault="00836D50" w:rsidP="00836D50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0.19 g/kW-hr</w:t>
            </w:r>
          </w:p>
        </w:tc>
        <w:tc>
          <w:tcPr>
            <w:tcW w:w="1707" w:type="dxa"/>
            <w:vAlign w:val="center"/>
          </w:tcPr>
          <w:p w14:paraId="090BB873" w14:textId="77777777" w:rsidR="00836D50" w:rsidRDefault="00836D50" w:rsidP="00836D50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3.7 g/bhp-hr,</w:t>
            </w:r>
          </w:p>
          <w:p w14:paraId="21AFB725" w14:textId="77777777" w:rsidR="00836D50" w:rsidRPr="005568CE" w:rsidRDefault="00836D50" w:rsidP="00836D50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5.0 g/kW-hr</w:t>
            </w:r>
          </w:p>
        </w:tc>
      </w:tr>
      <w:tr w:rsidR="00836D50" w:rsidRPr="005568CE" w14:paraId="0CC37BA3" w14:textId="77777777" w:rsidTr="00836D50">
        <w:tc>
          <w:tcPr>
            <w:tcW w:w="1885" w:type="dxa"/>
            <w:shd w:val="clear" w:color="auto" w:fill="auto"/>
            <w:vAlign w:val="center"/>
          </w:tcPr>
          <w:p w14:paraId="604F0D6A" w14:textId="77777777" w:rsidR="00836D50" w:rsidRPr="005568CE" w:rsidRDefault="00836D50" w:rsidP="00836D50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color w:val="auto"/>
                <w:sz w:val="23"/>
                <w:szCs w:val="23"/>
              </w:rPr>
              <w:t>100 ≤ HP &lt; 175</w:t>
            </w:r>
          </w:p>
        </w:tc>
        <w:tc>
          <w:tcPr>
            <w:tcW w:w="1706" w:type="dxa"/>
            <w:vAlign w:val="center"/>
          </w:tcPr>
          <w:p w14:paraId="53C28C6D" w14:textId="77777777" w:rsidR="00836D50" w:rsidRDefault="00836D50" w:rsidP="00836D50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0.01 g/bhp-hr,</w:t>
            </w:r>
          </w:p>
          <w:p w14:paraId="6992012B" w14:textId="77777777" w:rsidR="00836D50" w:rsidRPr="005568CE" w:rsidRDefault="00836D50" w:rsidP="00836D50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0.02 g/kW-hr</w:t>
            </w:r>
          </w:p>
        </w:tc>
        <w:tc>
          <w:tcPr>
            <w:tcW w:w="1706" w:type="dxa"/>
            <w:vAlign w:val="center"/>
          </w:tcPr>
          <w:p w14:paraId="2143CB14" w14:textId="77777777" w:rsidR="00836D50" w:rsidRDefault="00836D50" w:rsidP="00836D50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0.30 g/bhp-hr,</w:t>
            </w:r>
          </w:p>
          <w:p w14:paraId="40D28CCA" w14:textId="77777777" w:rsidR="00836D50" w:rsidRPr="005568CE" w:rsidRDefault="00836D50" w:rsidP="00836D50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0.40 g/kW-hr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8700902" w14:textId="77777777" w:rsidR="00836D50" w:rsidRPr="005568CE" w:rsidRDefault="00836D50" w:rsidP="00836D50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2D167396" w14:textId="77777777" w:rsidR="00836D50" w:rsidRDefault="00836D50" w:rsidP="00836D50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0.14 g/bhp-hr,</w:t>
            </w:r>
          </w:p>
          <w:p w14:paraId="515CFD82" w14:textId="77777777" w:rsidR="00836D50" w:rsidRPr="005568CE" w:rsidRDefault="00836D50" w:rsidP="00836D50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0.19 g/kW-hr</w:t>
            </w:r>
          </w:p>
        </w:tc>
        <w:tc>
          <w:tcPr>
            <w:tcW w:w="1707" w:type="dxa"/>
            <w:vAlign w:val="center"/>
          </w:tcPr>
          <w:p w14:paraId="77765105" w14:textId="77777777" w:rsidR="00836D50" w:rsidRDefault="00836D50" w:rsidP="00836D50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3.7 g/bhp-hr,</w:t>
            </w:r>
          </w:p>
          <w:p w14:paraId="110F2322" w14:textId="77777777" w:rsidR="00836D50" w:rsidRPr="005568CE" w:rsidRDefault="00836D50" w:rsidP="00836D50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5.0 g/kW-hr</w:t>
            </w:r>
          </w:p>
        </w:tc>
      </w:tr>
      <w:tr w:rsidR="00836D50" w:rsidRPr="005568CE" w14:paraId="2CE0035F" w14:textId="77777777" w:rsidTr="00836D50">
        <w:tc>
          <w:tcPr>
            <w:tcW w:w="1885" w:type="dxa"/>
            <w:shd w:val="clear" w:color="auto" w:fill="auto"/>
            <w:vAlign w:val="center"/>
          </w:tcPr>
          <w:p w14:paraId="426ADD1A" w14:textId="77777777" w:rsidR="00836D50" w:rsidRDefault="00836D50" w:rsidP="00836D50">
            <w:pPr>
              <w:pStyle w:val="Default"/>
              <w:jc w:val="center"/>
              <w:rPr>
                <w:rFonts w:ascii="Calibri" w:hAnsi="Calibri" w:cs="Calibri"/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color w:val="auto"/>
                <w:sz w:val="23"/>
                <w:szCs w:val="23"/>
              </w:rPr>
              <w:t>175 ≤ HP &lt; 750</w:t>
            </w:r>
          </w:p>
        </w:tc>
        <w:tc>
          <w:tcPr>
            <w:tcW w:w="1706" w:type="dxa"/>
            <w:vAlign w:val="center"/>
          </w:tcPr>
          <w:p w14:paraId="18B113D3" w14:textId="77777777" w:rsidR="00836D50" w:rsidRDefault="00836D50" w:rsidP="00836D50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0.01 g/bhp-hr,</w:t>
            </w:r>
          </w:p>
          <w:p w14:paraId="5C525646" w14:textId="77777777" w:rsidR="00836D50" w:rsidRPr="005568CE" w:rsidRDefault="00836D50" w:rsidP="00836D50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0.02 g/kW-hr</w:t>
            </w:r>
          </w:p>
        </w:tc>
        <w:tc>
          <w:tcPr>
            <w:tcW w:w="1706" w:type="dxa"/>
            <w:vAlign w:val="center"/>
          </w:tcPr>
          <w:p w14:paraId="5DC4A65A" w14:textId="77777777" w:rsidR="00836D50" w:rsidRDefault="00836D50" w:rsidP="00836D50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0.30 g/bhp-hr,</w:t>
            </w:r>
          </w:p>
          <w:p w14:paraId="5C2EAC40" w14:textId="77777777" w:rsidR="00836D50" w:rsidRPr="005568CE" w:rsidRDefault="00836D50" w:rsidP="00836D50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0.40 g/kW-hr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5930020" w14:textId="77777777" w:rsidR="00836D50" w:rsidRPr="005568CE" w:rsidRDefault="00836D50" w:rsidP="00836D50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73787C2D" w14:textId="77777777" w:rsidR="00836D50" w:rsidRDefault="00836D50" w:rsidP="00836D50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0.14 g/bhp-hr,</w:t>
            </w:r>
          </w:p>
          <w:p w14:paraId="7040BF29" w14:textId="77777777" w:rsidR="00836D50" w:rsidRPr="005568CE" w:rsidRDefault="00836D50" w:rsidP="00836D50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0.19 g/kW-hr</w:t>
            </w:r>
          </w:p>
        </w:tc>
        <w:tc>
          <w:tcPr>
            <w:tcW w:w="1707" w:type="dxa"/>
            <w:vAlign w:val="center"/>
          </w:tcPr>
          <w:p w14:paraId="7EF268A0" w14:textId="77777777" w:rsidR="00836D50" w:rsidRDefault="00836D50" w:rsidP="00836D50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2.6 g/bhp-hr,</w:t>
            </w:r>
          </w:p>
          <w:p w14:paraId="34A4AF26" w14:textId="77777777" w:rsidR="00836D50" w:rsidRPr="005568CE" w:rsidRDefault="00836D50" w:rsidP="00836D50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3.5 g/kW-hr</w:t>
            </w:r>
          </w:p>
        </w:tc>
      </w:tr>
      <w:tr w:rsidR="00A05C15" w:rsidRPr="005568CE" w14:paraId="4ABE80BD" w14:textId="77777777" w:rsidTr="007000B1">
        <w:tc>
          <w:tcPr>
            <w:tcW w:w="1885" w:type="dxa"/>
            <w:shd w:val="clear" w:color="auto" w:fill="auto"/>
            <w:vAlign w:val="center"/>
          </w:tcPr>
          <w:p w14:paraId="28EE20B1" w14:textId="77777777" w:rsidR="00A05C15" w:rsidRDefault="00A05C15" w:rsidP="00A05C15">
            <w:pPr>
              <w:pStyle w:val="Default"/>
              <w:jc w:val="center"/>
              <w:rPr>
                <w:rFonts w:ascii="Calibri" w:hAnsi="Calibri" w:cs="Calibri"/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color w:val="auto"/>
                <w:sz w:val="23"/>
                <w:szCs w:val="23"/>
              </w:rPr>
              <w:t>HP ≥750</w:t>
            </w:r>
          </w:p>
          <w:p w14:paraId="5268DD39" w14:textId="77777777" w:rsidR="00A05C15" w:rsidRDefault="00A05C15" w:rsidP="00A05C15">
            <w:pPr>
              <w:pStyle w:val="Default"/>
              <w:jc w:val="center"/>
              <w:rPr>
                <w:rFonts w:ascii="Calibri" w:hAnsi="Calibri" w:cs="Calibri"/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color w:val="auto"/>
                <w:sz w:val="23"/>
                <w:szCs w:val="23"/>
              </w:rPr>
              <w:t>Non-Generators</w:t>
            </w:r>
          </w:p>
        </w:tc>
        <w:tc>
          <w:tcPr>
            <w:tcW w:w="1706" w:type="dxa"/>
            <w:vAlign w:val="center"/>
          </w:tcPr>
          <w:p w14:paraId="1BFBB305" w14:textId="77777777" w:rsidR="00A05C15" w:rsidRDefault="00A05C15" w:rsidP="00A05C15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0.03 g/bhp-hr</w:t>
            </w:r>
          </w:p>
          <w:p w14:paraId="220F7C18" w14:textId="77777777" w:rsidR="00A05C15" w:rsidRDefault="00A05C15" w:rsidP="00A05C15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0.04 g/kW-hr</w:t>
            </w:r>
          </w:p>
        </w:tc>
        <w:tc>
          <w:tcPr>
            <w:tcW w:w="1706" w:type="dxa"/>
          </w:tcPr>
          <w:p w14:paraId="47185DD0" w14:textId="0370CF80" w:rsidR="00A05C15" w:rsidRDefault="00A05C15" w:rsidP="00A05C15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 xml:space="preserve">2.6 g/bph-hr, </w:t>
            </w:r>
          </w:p>
          <w:p w14:paraId="0CD3DE24" w14:textId="77777777" w:rsidR="00A05C15" w:rsidRPr="005568CE" w:rsidRDefault="00A05C15" w:rsidP="00A05C15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3.5 g/kW-hr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6FDBBEF" w14:textId="77777777" w:rsidR="00A05C15" w:rsidRPr="005568CE" w:rsidRDefault="00A05C15" w:rsidP="00A05C15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3F1F83C9" w14:textId="77777777" w:rsidR="00A05C15" w:rsidRDefault="00A05C15" w:rsidP="00A05C15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0.14 g/bhp-hr,</w:t>
            </w:r>
          </w:p>
          <w:p w14:paraId="370F8632" w14:textId="77777777" w:rsidR="00A05C15" w:rsidRPr="005568CE" w:rsidRDefault="00A05C15" w:rsidP="00A05C15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0.19 g/kW-hr</w:t>
            </w:r>
          </w:p>
        </w:tc>
        <w:tc>
          <w:tcPr>
            <w:tcW w:w="1707" w:type="dxa"/>
            <w:vAlign w:val="center"/>
          </w:tcPr>
          <w:p w14:paraId="699BED46" w14:textId="77777777" w:rsidR="00A05C15" w:rsidRDefault="00A05C15" w:rsidP="00A05C15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2.6 g/bhp-hr,</w:t>
            </w:r>
          </w:p>
          <w:p w14:paraId="1DEA90B7" w14:textId="77777777" w:rsidR="00A05C15" w:rsidRPr="005568CE" w:rsidRDefault="00A05C15" w:rsidP="00A05C15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3.5 g/kW-hr</w:t>
            </w:r>
          </w:p>
        </w:tc>
      </w:tr>
      <w:tr w:rsidR="00A05C15" w:rsidRPr="005568CE" w14:paraId="5CFD6E39" w14:textId="77777777" w:rsidTr="00270D52">
        <w:tc>
          <w:tcPr>
            <w:tcW w:w="1885" w:type="dxa"/>
            <w:shd w:val="clear" w:color="auto" w:fill="auto"/>
            <w:vAlign w:val="center"/>
          </w:tcPr>
          <w:p w14:paraId="095DBEB6" w14:textId="77777777" w:rsidR="00A05C15" w:rsidRDefault="00A05C15" w:rsidP="00A05C15">
            <w:pPr>
              <w:pStyle w:val="Default"/>
              <w:jc w:val="center"/>
              <w:rPr>
                <w:rFonts w:ascii="Calibri" w:hAnsi="Calibri" w:cs="Calibri"/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color w:val="auto"/>
                <w:sz w:val="23"/>
                <w:szCs w:val="23"/>
              </w:rPr>
              <w:t>750 &lt; HP ≤ 1,207</w:t>
            </w:r>
          </w:p>
          <w:p w14:paraId="6C69FCBE" w14:textId="552214C6" w:rsidR="00A05C15" w:rsidRDefault="00A05C15" w:rsidP="00A05C15">
            <w:pPr>
              <w:pStyle w:val="Default"/>
              <w:jc w:val="center"/>
              <w:rPr>
                <w:rFonts w:ascii="Calibri" w:hAnsi="Calibri" w:cs="Calibri"/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color w:val="auto"/>
                <w:sz w:val="23"/>
                <w:szCs w:val="23"/>
              </w:rPr>
              <w:t>Generator</w:t>
            </w:r>
            <w:r w:rsidR="00D67442">
              <w:rPr>
                <w:rFonts w:ascii="Calibri" w:hAnsi="Calibri" w:cs="Calibri"/>
                <w:color w:val="auto"/>
                <w:sz w:val="23"/>
                <w:szCs w:val="23"/>
              </w:rPr>
              <w:t>s</w:t>
            </w:r>
          </w:p>
        </w:tc>
        <w:tc>
          <w:tcPr>
            <w:tcW w:w="1706" w:type="dxa"/>
            <w:vAlign w:val="center"/>
          </w:tcPr>
          <w:p w14:paraId="391200CE" w14:textId="77777777" w:rsidR="00A05C15" w:rsidRDefault="00A05C15" w:rsidP="00A05C15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0.02 g/bhp-hr,</w:t>
            </w:r>
          </w:p>
          <w:p w14:paraId="02B5BB60" w14:textId="77777777" w:rsidR="00A05C15" w:rsidRPr="005568CE" w:rsidRDefault="00A05C15" w:rsidP="00A05C15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0.03 g/kW-hr</w:t>
            </w:r>
          </w:p>
        </w:tc>
        <w:tc>
          <w:tcPr>
            <w:tcW w:w="1706" w:type="dxa"/>
            <w:vAlign w:val="center"/>
          </w:tcPr>
          <w:p w14:paraId="10E211DE" w14:textId="77777777" w:rsidR="00A05C15" w:rsidRDefault="00A05C15" w:rsidP="00A05C15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0.50 g/bhp-hr,</w:t>
            </w:r>
          </w:p>
          <w:p w14:paraId="4BD429C6" w14:textId="77777777" w:rsidR="00A05C15" w:rsidRPr="005568CE" w:rsidRDefault="00A05C15" w:rsidP="00A05C15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0.67 g/kW-hr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5535D49" w14:textId="77777777" w:rsidR="00A05C15" w:rsidRPr="005568CE" w:rsidRDefault="00A05C15" w:rsidP="00A05C15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0A2E7085" w14:textId="77777777" w:rsidR="00A05C15" w:rsidRDefault="00A05C15" w:rsidP="00A05C15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0.14 g/bhp-hr,</w:t>
            </w:r>
          </w:p>
          <w:p w14:paraId="329F5E3B" w14:textId="77777777" w:rsidR="00A05C15" w:rsidRPr="005568CE" w:rsidRDefault="00A05C15" w:rsidP="00A05C15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0.19 g/kW-hr</w:t>
            </w:r>
          </w:p>
        </w:tc>
        <w:tc>
          <w:tcPr>
            <w:tcW w:w="1707" w:type="dxa"/>
            <w:vAlign w:val="center"/>
          </w:tcPr>
          <w:p w14:paraId="26EED4F4" w14:textId="77777777" w:rsidR="00A05C15" w:rsidRDefault="00A05C15" w:rsidP="00A05C15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2.6 g/bhp-hr,</w:t>
            </w:r>
          </w:p>
          <w:p w14:paraId="336C4E1D" w14:textId="77777777" w:rsidR="00A05C15" w:rsidRPr="005568CE" w:rsidRDefault="00A05C15" w:rsidP="00A05C15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3.5 g/kW-hr</w:t>
            </w:r>
          </w:p>
        </w:tc>
      </w:tr>
      <w:tr w:rsidR="00A05C15" w:rsidRPr="005568CE" w14:paraId="3C37DEF2" w14:textId="77777777" w:rsidTr="00836D50"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A69B0" w14:textId="77777777" w:rsidR="00A05C15" w:rsidRDefault="00A05C15" w:rsidP="00A05C15">
            <w:pPr>
              <w:pStyle w:val="Default"/>
              <w:jc w:val="center"/>
              <w:rPr>
                <w:rFonts w:ascii="Calibri" w:hAnsi="Calibri" w:cs="Calibri"/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color w:val="auto"/>
                <w:sz w:val="23"/>
                <w:szCs w:val="23"/>
              </w:rPr>
              <w:t>HP &gt; 1,207</w:t>
            </w:r>
          </w:p>
          <w:p w14:paraId="50352468" w14:textId="66C601A9" w:rsidR="00A05C15" w:rsidRDefault="00A05C15" w:rsidP="00A05C15">
            <w:pPr>
              <w:pStyle w:val="Default"/>
              <w:jc w:val="center"/>
              <w:rPr>
                <w:rFonts w:ascii="Calibri" w:hAnsi="Calibri" w:cs="Calibri"/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color w:val="auto"/>
                <w:sz w:val="23"/>
                <w:szCs w:val="23"/>
              </w:rPr>
              <w:t>Generator</w:t>
            </w:r>
            <w:r w:rsidR="00D67442">
              <w:rPr>
                <w:rFonts w:ascii="Calibri" w:hAnsi="Calibri" w:cs="Calibri"/>
                <w:color w:val="auto"/>
                <w:sz w:val="23"/>
                <w:szCs w:val="23"/>
              </w:rPr>
              <w:t>s</w:t>
            </w:r>
          </w:p>
        </w:tc>
        <w:tc>
          <w:tcPr>
            <w:tcW w:w="1706" w:type="dxa"/>
            <w:vAlign w:val="center"/>
          </w:tcPr>
          <w:p w14:paraId="21C28EB7" w14:textId="77777777" w:rsidR="00A05C15" w:rsidRDefault="00A05C15" w:rsidP="00A05C15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0.02 g/bhp-hr,</w:t>
            </w:r>
          </w:p>
          <w:p w14:paraId="3FE9B4C2" w14:textId="77777777" w:rsidR="00A05C15" w:rsidRPr="005568CE" w:rsidRDefault="00A05C15" w:rsidP="00A05C15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0.03 g/kW-hr</w:t>
            </w:r>
          </w:p>
        </w:tc>
        <w:tc>
          <w:tcPr>
            <w:tcW w:w="1706" w:type="dxa"/>
            <w:vAlign w:val="center"/>
          </w:tcPr>
          <w:p w14:paraId="03C84BC0" w14:textId="77777777" w:rsidR="00A05C15" w:rsidRDefault="00A05C15" w:rsidP="00A05C15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0.50 g/bhp-hr,</w:t>
            </w:r>
          </w:p>
          <w:p w14:paraId="360EACFD" w14:textId="77777777" w:rsidR="00A05C15" w:rsidRPr="005568CE" w:rsidRDefault="00A05C15" w:rsidP="00A05C15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0.67 g/kW-hr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C0F2E23" w14:textId="77777777" w:rsidR="00A05C15" w:rsidRPr="005568CE" w:rsidRDefault="00A05C15" w:rsidP="00A05C15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1D69F8D1" w14:textId="77777777" w:rsidR="00A05C15" w:rsidRDefault="00A05C15" w:rsidP="00A05C15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0.14 g/bhp-hr,</w:t>
            </w:r>
          </w:p>
          <w:p w14:paraId="057B2666" w14:textId="77777777" w:rsidR="00A05C15" w:rsidRPr="005568CE" w:rsidRDefault="00A05C15" w:rsidP="00A05C15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0.19 g/kW-hr</w:t>
            </w:r>
          </w:p>
        </w:tc>
        <w:tc>
          <w:tcPr>
            <w:tcW w:w="1707" w:type="dxa"/>
            <w:vAlign w:val="center"/>
          </w:tcPr>
          <w:p w14:paraId="607CBA92" w14:textId="77777777" w:rsidR="00A05C15" w:rsidRDefault="00A05C15" w:rsidP="00A05C15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2.6 g/bhp-hr,</w:t>
            </w:r>
          </w:p>
          <w:p w14:paraId="2C0E50A0" w14:textId="77777777" w:rsidR="00A05C15" w:rsidRPr="005568CE" w:rsidRDefault="00A05C15" w:rsidP="00A05C15">
            <w:pPr>
              <w:pStyle w:val="Default"/>
              <w:jc w:val="center"/>
              <w:rPr>
                <w:rFonts w:ascii="Calibri" w:hAnsi="Calibri"/>
                <w:color w:val="auto"/>
                <w:sz w:val="23"/>
                <w:szCs w:val="23"/>
              </w:rPr>
            </w:pPr>
            <w:r>
              <w:rPr>
                <w:rFonts w:ascii="Calibri" w:hAnsi="Calibri"/>
                <w:color w:val="auto"/>
                <w:sz w:val="23"/>
                <w:szCs w:val="23"/>
              </w:rPr>
              <w:t>3.5 g/kW-hr</w:t>
            </w:r>
          </w:p>
        </w:tc>
      </w:tr>
    </w:tbl>
    <w:p w14:paraId="4670B511" w14:textId="77777777" w:rsidR="00B517E0" w:rsidRDefault="00B517E0" w:rsidP="008F1CFF"/>
    <w:p w14:paraId="6CDF2E21" w14:textId="77777777" w:rsidR="005C7586" w:rsidRDefault="00870ACD" w:rsidP="00186ADC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BACT for SO</w:t>
      </w:r>
      <w:r>
        <w:rPr>
          <w:rFonts w:ascii="Calibri" w:hAnsi="Calibri" w:cs="Calibri"/>
          <w:sz w:val="23"/>
          <w:szCs w:val="23"/>
          <w:vertAlign w:val="subscript"/>
        </w:rPr>
        <w:t>x</w:t>
      </w:r>
      <w:r w:rsidRPr="00FD677C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for all categories is the exclusive use</w:t>
      </w:r>
      <w:r w:rsidR="00CD49FA">
        <w:rPr>
          <w:rFonts w:ascii="Calibri" w:hAnsi="Calibri" w:cs="Calibri"/>
          <w:sz w:val="23"/>
          <w:szCs w:val="23"/>
        </w:rPr>
        <w:t xml:space="preserve"> of</w:t>
      </w:r>
      <w:r>
        <w:rPr>
          <w:rFonts w:ascii="Calibri" w:hAnsi="Calibri" w:cs="Calibri"/>
          <w:sz w:val="23"/>
          <w:szCs w:val="23"/>
        </w:rPr>
        <w:t xml:space="preserve"> </w:t>
      </w:r>
      <w:r w:rsidR="00FD677C">
        <w:rPr>
          <w:rFonts w:ascii="Calibri" w:hAnsi="Calibri" w:cs="Calibri"/>
          <w:sz w:val="23"/>
          <w:szCs w:val="23"/>
        </w:rPr>
        <w:t>CARB diesel fuel</w:t>
      </w:r>
      <w:r>
        <w:rPr>
          <w:rFonts w:ascii="Calibri" w:hAnsi="Calibri" w:cs="Calibri"/>
          <w:sz w:val="23"/>
          <w:szCs w:val="23"/>
        </w:rPr>
        <w:t>.</w:t>
      </w:r>
    </w:p>
    <w:p w14:paraId="48F9A9D7" w14:textId="77777777" w:rsidR="00870ACD" w:rsidRPr="00870ACD" w:rsidRDefault="00870ACD" w:rsidP="00186ADC">
      <w:pPr>
        <w:jc w:val="both"/>
        <w:rPr>
          <w:rFonts w:ascii="Calibri" w:hAnsi="Calibri" w:cs="Calibri"/>
          <w:sz w:val="23"/>
          <w:szCs w:val="23"/>
        </w:rPr>
      </w:pPr>
    </w:p>
    <w:p w14:paraId="2CF56EB4" w14:textId="77777777" w:rsidR="00690579" w:rsidRDefault="002641CC" w:rsidP="00186ADC">
      <w:pPr>
        <w:pStyle w:val="Default"/>
        <w:jc w:val="both"/>
        <w:rPr>
          <w:rFonts w:ascii="Calibri" w:hAnsi="Calibri"/>
          <w:b/>
          <w:color w:val="auto"/>
          <w:sz w:val="23"/>
          <w:szCs w:val="23"/>
          <w:u w:val="single"/>
        </w:rPr>
      </w:pPr>
      <w:r w:rsidRPr="002641CC">
        <w:rPr>
          <w:rFonts w:ascii="Calibri" w:hAnsi="Calibri"/>
          <w:b/>
          <w:color w:val="auto"/>
          <w:sz w:val="23"/>
          <w:szCs w:val="23"/>
          <w:u w:val="single"/>
        </w:rPr>
        <w:t>Offsets</w:t>
      </w:r>
    </w:p>
    <w:p w14:paraId="5EA4C1CF" w14:textId="77777777" w:rsidR="002641CC" w:rsidRPr="002641CC" w:rsidRDefault="00870ACD" w:rsidP="00186ADC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>Stationary sources</w:t>
      </w:r>
      <w:r w:rsidR="004A6D07">
        <w:rPr>
          <w:rFonts w:ascii="Calibri" w:hAnsi="Calibri"/>
          <w:color w:val="auto"/>
          <w:sz w:val="23"/>
          <w:szCs w:val="23"/>
        </w:rPr>
        <w:t xml:space="preserve"> may also be subject to District offset requirements. </w:t>
      </w:r>
      <w:r w:rsidR="002641CC" w:rsidRPr="002641CC">
        <w:rPr>
          <w:rFonts w:ascii="Calibri" w:hAnsi="Calibri"/>
          <w:color w:val="auto"/>
          <w:sz w:val="23"/>
          <w:szCs w:val="23"/>
        </w:rPr>
        <w:t>Offsets</w:t>
      </w:r>
      <w:r w:rsidR="004A6D07">
        <w:rPr>
          <w:rFonts w:ascii="Calibri" w:hAnsi="Calibri"/>
          <w:color w:val="auto"/>
          <w:sz w:val="23"/>
          <w:szCs w:val="23"/>
        </w:rPr>
        <w:t xml:space="preserve"> are</w:t>
      </w:r>
      <w:r w:rsidR="004A6D07" w:rsidRPr="002641CC">
        <w:rPr>
          <w:rFonts w:ascii="Calibri" w:hAnsi="Calibri"/>
          <w:color w:val="auto"/>
          <w:sz w:val="23"/>
          <w:szCs w:val="23"/>
        </w:rPr>
        <w:t xml:space="preserve"> </w:t>
      </w:r>
      <w:r w:rsidR="002641CC" w:rsidRPr="002641CC">
        <w:rPr>
          <w:rFonts w:ascii="Calibri" w:hAnsi="Calibri"/>
          <w:color w:val="auto"/>
          <w:sz w:val="23"/>
          <w:szCs w:val="23"/>
        </w:rPr>
        <w:t>an emissions reduction necessary to mitigate an emissions increase of an affected pollutant</w:t>
      </w:r>
      <w:r w:rsidR="004A6D07">
        <w:rPr>
          <w:rFonts w:ascii="Calibri" w:hAnsi="Calibri"/>
          <w:color w:val="auto"/>
          <w:sz w:val="23"/>
          <w:szCs w:val="23"/>
        </w:rPr>
        <w:t xml:space="preserve"> and are</w:t>
      </w:r>
      <w:r w:rsidR="002641CC" w:rsidRPr="002641CC">
        <w:rPr>
          <w:rFonts w:ascii="Calibri" w:hAnsi="Calibri"/>
          <w:color w:val="auto"/>
          <w:sz w:val="23"/>
          <w:szCs w:val="23"/>
        </w:rPr>
        <w:t xml:space="preserve"> required from a new or modified stationary source that has the potential to emit greater than or equal to the 137 lbs/day of </w:t>
      </w:r>
      <w:r w:rsidR="00EF367B">
        <w:rPr>
          <w:rFonts w:ascii="Calibri" w:hAnsi="Calibri"/>
          <w:color w:val="auto"/>
          <w:sz w:val="23"/>
          <w:szCs w:val="23"/>
        </w:rPr>
        <w:t>NO</w:t>
      </w:r>
      <w:r w:rsidR="00EF367B" w:rsidRPr="00186ADC">
        <w:rPr>
          <w:rFonts w:ascii="Calibri" w:hAnsi="Calibri"/>
          <w:color w:val="auto"/>
          <w:sz w:val="23"/>
          <w:szCs w:val="23"/>
          <w:vertAlign w:val="subscript"/>
        </w:rPr>
        <w:t>x</w:t>
      </w:r>
      <w:r w:rsidR="00EF367B">
        <w:rPr>
          <w:rFonts w:ascii="Calibri" w:hAnsi="Calibri"/>
          <w:color w:val="auto"/>
          <w:sz w:val="23"/>
          <w:szCs w:val="23"/>
        </w:rPr>
        <w:t xml:space="preserve"> or </w:t>
      </w:r>
      <w:r w:rsidR="002641CC" w:rsidRPr="002641CC">
        <w:rPr>
          <w:rFonts w:ascii="Calibri" w:hAnsi="Calibri"/>
          <w:color w:val="auto"/>
          <w:sz w:val="23"/>
          <w:szCs w:val="23"/>
        </w:rPr>
        <w:t xml:space="preserve">VOCs.  A </w:t>
      </w:r>
      <w:r w:rsidR="002641CC" w:rsidRPr="002641CC">
        <w:rPr>
          <w:rFonts w:ascii="Calibri" w:hAnsi="Calibri"/>
          <w:color w:val="auto"/>
          <w:sz w:val="23"/>
          <w:szCs w:val="23"/>
        </w:rPr>
        <w:lastRenderedPageBreak/>
        <w:t>stationary source may be exempt from offsets if the facility’s actual emissions are less 10 tons/year.</w:t>
      </w:r>
    </w:p>
    <w:p w14:paraId="78CF389C" w14:textId="77777777" w:rsidR="00E47160" w:rsidRPr="002641CC" w:rsidRDefault="00E47160" w:rsidP="00186ADC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</w:p>
    <w:p w14:paraId="72912805" w14:textId="77777777" w:rsidR="005C5D82" w:rsidRPr="00FD0373" w:rsidRDefault="005C5D82" w:rsidP="00186ADC">
      <w:pPr>
        <w:ind w:right="-720"/>
        <w:jc w:val="both"/>
        <w:outlineLvl w:val="0"/>
        <w:rPr>
          <w:rFonts w:ascii="Calibri" w:hAnsi="Calibri" w:cs="Calibri"/>
          <w:b/>
          <w:sz w:val="23"/>
          <w:szCs w:val="23"/>
          <w:u w:val="single"/>
        </w:rPr>
      </w:pPr>
      <w:r w:rsidRPr="00FD0373">
        <w:rPr>
          <w:rFonts w:ascii="Calibri" w:hAnsi="Calibri" w:cs="Calibri"/>
          <w:b/>
          <w:sz w:val="23"/>
          <w:szCs w:val="23"/>
          <w:u w:val="single"/>
        </w:rPr>
        <w:t>Federal Standards for Stationary Reciprocating Internal Combustion Engines</w:t>
      </w:r>
    </w:p>
    <w:p w14:paraId="45B93DD4" w14:textId="77777777" w:rsidR="005C5D82" w:rsidRPr="00376908" w:rsidRDefault="005C5D82" w:rsidP="00186ADC">
      <w:pPr>
        <w:jc w:val="both"/>
        <w:rPr>
          <w:rFonts w:ascii="Calibri" w:hAnsi="Calibri" w:cs="Calibri"/>
          <w:sz w:val="23"/>
          <w:szCs w:val="23"/>
        </w:rPr>
      </w:pPr>
      <w:r w:rsidRPr="00376908">
        <w:rPr>
          <w:rFonts w:ascii="Calibri" w:hAnsi="Calibri" w:cs="Calibri"/>
          <w:sz w:val="23"/>
          <w:szCs w:val="23"/>
        </w:rPr>
        <w:t xml:space="preserve">In addition to the above requirements, facilities must also comply with the USEPA’s requirements for </w:t>
      </w:r>
      <w:r w:rsidR="00B535C9">
        <w:rPr>
          <w:rFonts w:ascii="Calibri" w:hAnsi="Calibri" w:cs="Calibri"/>
          <w:sz w:val="23"/>
          <w:szCs w:val="23"/>
        </w:rPr>
        <w:t>compression ignition</w:t>
      </w:r>
      <w:r w:rsidRPr="00376908">
        <w:rPr>
          <w:rFonts w:ascii="Calibri" w:hAnsi="Calibri" w:cs="Calibri"/>
          <w:sz w:val="23"/>
          <w:szCs w:val="23"/>
        </w:rPr>
        <w:t xml:space="preserve"> internal combustion engines (RICE).  The District implements and enforces these Federal rules in conjunction with other State and local regulations.  The Federal rules that apply to </w:t>
      </w:r>
      <w:r w:rsidR="00B535C9">
        <w:rPr>
          <w:rFonts w:ascii="Calibri" w:hAnsi="Calibri" w:cs="Calibri"/>
          <w:sz w:val="23"/>
          <w:szCs w:val="23"/>
        </w:rPr>
        <w:t>new compression ignition</w:t>
      </w:r>
      <w:r w:rsidRPr="00376908">
        <w:rPr>
          <w:rFonts w:ascii="Calibri" w:hAnsi="Calibri" w:cs="Calibri"/>
          <w:sz w:val="23"/>
          <w:szCs w:val="23"/>
        </w:rPr>
        <w:t xml:space="preserve"> engines include:</w:t>
      </w:r>
    </w:p>
    <w:p w14:paraId="6E85CB26" w14:textId="77777777" w:rsidR="005C5D82" w:rsidRPr="00376908" w:rsidRDefault="005C5D82" w:rsidP="00186ADC">
      <w:pPr>
        <w:jc w:val="both"/>
        <w:rPr>
          <w:rFonts w:ascii="Calibri" w:hAnsi="Calibri" w:cs="Calibri"/>
          <w:sz w:val="23"/>
          <w:szCs w:val="23"/>
        </w:rPr>
      </w:pPr>
    </w:p>
    <w:p w14:paraId="1DCF688B" w14:textId="440954EC" w:rsidR="00BF2B23" w:rsidRDefault="005C5D82" w:rsidP="00186ADC">
      <w:pPr>
        <w:tabs>
          <w:tab w:val="left" w:pos="360"/>
        </w:tabs>
        <w:ind w:left="360" w:hanging="360"/>
        <w:jc w:val="both"/>
        <w:outlineLvl w:val="0"/>
        <w:rPr>
          <w:rFonts w:ascii="Calibri" w:hAnsi="Calibri" w:cs="Calibri"/>
          <w:sz w:val="23"/>
          <w:szCs w:val="23"/>
        </w:rPr>
      </w:pPr>
      <w:r w:rsidRPr="00376908">
        <w:rPr>
          <w:rFonts w:ascii="Calibri" w:hAnsi="Calibri" w:cs="Calibri"/>
          <w:sz w:val="23"/>
          <w:szCs w:val="23"/>
        </w:rPr>
        <w:t>▪</w:t>
      </w:r>
      <w:r w:rsidRPr="00376908">
        <w:rPr>
          <w:rFonts w:ascii="Calibri" w:hAnsi="Calibri" w:cs="Calibri"/>
          <w:sz w:val="23"/>
          <w:szCs w:val="23"/>
        </w:rPr>
        <w:tab/>
        <w:t xml:space="preserve">New Source Performance Standards (NSPS).  Standards of Performance for </w:t>
      </w:r>
      <w:r w:rsidR="00266B93" w:rsidRPr="00266B93">
        <w:rPr>
          <w:rFonts w:ascii="Calibri" w:hAnsi="Calibri" w:cs="Calibri"/>
          <w:sz w:val="23"/>
          <w:szCs w:val="23"/>
        </w:rPr>
        <w:t xml:space="preserve">Stationary Compression Ignition </w:t>
      </w:r>
      <w:r w:rsidR="00266B93">
        <w:rPr>
          <w:rFonts w:ascii="Calibri" w:hAnsi="Calibri" w:cs="Calibri"/>
          <w:sz w:val="23"/>
          <w:szCs w:val="23"/>
        </w:rPr>
        <w:t xml:space="preserve">(CI) </w:t>
      </w:r>
      <w:r w:rsidR="00266B93" w:rsidRPr="00266B93">
        <w:rPr>
          <w:rFonts w:ascii="Calibri" w:hAnsi="Calibri" w:cs="Calibri"/>
          <w:sz w:val="23"/>
          <w:szCs w:val="23"/>
        </w:rPr>
        <w:t xml:space="preserve">Internal Combustion </w:t>
      </w:r>
      <w:r w:rsidR="00266B93">
        <w:rPr>
          <w:rFonts w:ascii="Calibri" w:hAnsi="Calibri" w:cs="Calibri"/>
          <w:sz w:val="23"/>
          <w:szCs w:val="23"/>
        </w:rPr>
        <w:t xml:space="preserve">(IC) </w:t>
      </w:r>
      <w:r w:rsidR="00266B93" w:rsidRPr="00266B93">
        <w:rPr>
          <w:rFonts w:ascii="Calibri" w:hAnsi="Calibri" w:cs="Calibri"/>
          <w:sz w:val="23"/>
          <w:szCs w:val="23"/>
        </w:rPr>
        <w:t>Engines</w:t>
      </w:r>
      <w:r w:rsidRPr="00376908">
        <w:rPr>
          <w:rFonts w:ascii="Calibri" w:hAnsi="Calibri" w:cs="Calibri"/>
          <w:sz w:val="23"/>
          <w:szCs w:val="23"/>
        </w:rPr>
        <w:t xml:space="preserve">, </w:t>
      </w:r>
      <w:r w:rsidRPr="00376908">
        <w:rPr>
          <w:rFonts w:ascii="Calibri" w:hAnsi="Calibri" w:cs="Calibri"/>
          <w:sz w:val="23"/>
          <w:szCs w:val="23"/>
          <w:u w:val="single"/>
        </w:rPr>
        <w:t xml:space="preserve">NSPS - Subpart </w:t>
      </w:r>
      <w:r w:rsidR="00266B93">
        <w:rPr>
          <w:rFonts w:ascii="Calibri" w:hAnsi="Calibri" w:cs="Calibri"/>
          <w:sz w:val="23"/>
          <w:szCs w:val="23"/>
          <w:u w:val="single"/>
        </w:rPr>
        <w:t>IIII</w:t>
      </w:r>
      <w:r w:rsidRPr="00376908">
        <w:rPr>
          <w:rFonts w:ascii="Calibri" w:hAnsi="Calibri" w:cs="Calibri"/>
          <w:sz w:val="23"/>
          <w:szCs w:val="23"/>
        </w:rPr>
        <w:t xml:space="preserve">. </w:t>
      </w:r>
    </w:p>
    <w:p w14:paraId="350BAF83" w14:textId="77777777" w:rsidR="00E841F7" w:rsidRDefault="00E841F7" w:rsidP="00186ADC">
      <w:pPr>
        <w:tabs>
          <w:tab w:val="left" w:pos="360"/>
        </w:tabs>
        <w:ind w:left="360" w:hanging="360"/>
        <w:jc w:val="both"/>
        <w:outlineLvl w:val="0"/>
        <w:rPr>
          <w:rFonts w:ascii="Calibri" w:hAnsi="Calibri" w:cs="Calibri"/>
          <w:sz w:val="23"/>
          <w:szCs w:val="23"/>
        </w:rPr>
      </w:pPr>
    </w:p>
    <w:p w14:paraId="1191C38B" w14:textId="77777777" w:rsidR="002641CC" w:rsidRPr="002641CC" w:rsidRDefault="002641CC" w:rsidP="00186ADC">
      <w:pPr>
        <w:pStyle w:val="Default"/>
        <w:jc w:val="both"/>
        <w:rPr>
          <w:rFonts w:ascii="Calibri" w:hAnsi="Calibri"/>
          <w:b/>
          <w:color w:val="auto"/>
          <w:sz w:val="23"/>
          <w:szCs w:val="23"/>
          <w:u w:val="single"/>
        </w:rPr>
      </w:pPr>
      <w:r w:rsidRPr="002641CC">
        <w:rPr>
          <w:rFonts w:ascii="Calibri" w:hAnsi="Calibri"/>
          <w:b/>
          <w:color w:val="auto"/>
          <w:sz w:val="23"/>
          <w:szCs w:val="23"/>
          <w:u w:val="single"/>
        </w:rPr>
        <w:t xml:space="preserve">Additional Information </w:t>
      </w:r>
    </w:p>
    <w:p w14:paraId="20076D83" w14:textId="77777777" w:rsidR="002641CC" w:rsidRPr="002641CC" w:rsidRDefault="002641CC" w:rsidP="00186ADC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  <w:r w:rsidRPr="002641CC">
        <w:rPr>
          <w:rFonts w:ascii="Calibri" w:hAnsi="Calibri"/>
          <w:color w:val="auto"/>
          <w:sz w:val="23"/>
          <w:szCs w:val="23"/>
        </w:rPr>
        <w:t xml:space="preserve">Should you have any questions regarding the permit applicability for your </w:t>
      </w:r>
      <w:r w:rsidR="005C5D82">
        <w:rPr>
          <w:rFonts w:ascii="Calibri" w:hAnsi="Calibri"/>
          <w:color w:val="auto"/>
          <w:sz w:val="23"/>
          <w:szCs w:val="23"/>
        </w:rPr>
        <w:t>engine-driven generators</w:t>
      </w:r>
      <w:r w:rsidR="00266B93">
        <w:rPr>
          <w:rFonts w:ascii="Calibri" w:hAnsi="Calibri"/>
          <w:color w:val="auto"/>
          <w:sz w:val="23"/>
          <w:szCs w:val="23"/>
        </w:rPr>
        <w:t>, compressors</w:t>
      </w:r>
      <w:r w:rsidR="005C5D82">
        <w:rPr>
          <w:rFonts w:ascii="Calibri" w:hAnsi="Calibri"/>
          <w:color w:val="auto"/>
          <w:sz w:val="23"/>
          <w:szCs w:val="23"/>
        </w:rPr>
        <w:t xml:space="preserve"> and water pumps</w:t>
      </w:r>
      <w:r w:rsidRPr="002641CC">
        <w:rPr>
          <w:rFonts w:ascii="Calibri" w:hAnsi="Calibri"/>
          <w:color w:val="auto"/>
          <w:sz w:val="23"/>
          <w:szCs w:val="23"/>
        </w:rPr>
        <w:t>, please contact the District’s Engineeri</w:t>
      </w:r>
      <w:r>
        <w:rPr>
          <w:rFonts w:ascii="Calibri" w:hAnsi="Calibri"/>
          <w:color w:val="auto"/>
          <w:sz w:val="23"/>
          <w:szCs w:val="23"/>
        </w:rPr>
        <w:t xml:space="preserve">ng Division at (831) 647-9411. </w:t>
      </w:r>
      <w:r w:rsidRPr="002641CC">
        <w:rPr>
          <w:rFonts w:ascii="Calibri" w:hAnsi="Calibri"/>
          <w:color w:val="auto"/>
          <w:sz w:val="23"/>
          <w:szCs w:val="23"/>
        </w:rPr>
        <w:t>The Engineering Division can also provide you with permit application forms and permit application fee sheets to commence the permitting process for your proposed facility.</w:t>
      </w:r>
    </w:p>
    <w:p w14:paraId="5800EF0A" w14:textId="77777777" w:rsidR="002641CC" w:rsidRDefault="002641CC" w:rsidP="00186ADC">
      <w:pPr>
        <w:pStyle w:val="Default"/>
        <w:jc w:val="both"/>
        <w:rPr>
          <w:rFonts w:ascii="Calibri" w:hAnsi="Calibri"/>
          <w:color w:val="auto"/>
        </w:rPr>
      </w:pPr>
    </w:p>
    <w:p w14:paraId="36DF322B" w14:textId="65F28CC2" w:rsidR="005C539C" w:rsidRDefault="00762541" w:rsidP="00186AD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fldChar w:fldCharType="begin"/>
      </w:r>
      <w:r>
        <w:rPr>
          <w:rFonts w:ascii="Calibri" w:hAnsi="Calibri"/>
          <w:color w:val="auto"/>
          <w:sz w:val="22"/>
          <w:szCs w:val="22"/>
        </w:rPr>
        <w:instrText xml:space="preserve"> FILENAME  \p  \* MERGEFORMAT </w:instrText>
      </w:r>
      <w:r>
        <w:rPr>
          <w:rFonts w:ascii="Calibri" w:hAnsi="Calibri"/>
          <w:color w:val="auto"/>
          <w:sz w:val="22"/>
          <w:szCs w:val="22"/>
        </w:rPr>
        <w:fldChar w:fldCharType="separate"/>
      </w:r>
      <w:r>
        <w:rPr>
          <w:rFonts w:ascii="Calibri" w:hAnsi="Calibri"/>
          <w:noProof/>
          <w:color w:val="auto"/>
          <w:sz w:val="22"/>
          <w:szCs w:val="22"/>
        </w:rPr>
        <w:t>O:\ENG\Web Pages\Engines\Clarification of Permit Requirements for CI Engines_06.08.2019.docx</w:t>
      </w:r>
      <w:r>
        <w:rPr>
          <w:rFonts w:ascii="Calibri" w:hAnsi="Calibri"/>
          <w:color w:val="auto"/>
          <w:sz w:val="22"/>
          <w:szCs w:val="22"/>
        </w:rPr>
        <w:fldChar w:fldCharType="end"/>
      </w:r>
    </w:p>
    <w:sectPr w:rsidR="005C539C" w:rsidSect="00E74A24">
      <w:headerReference w:type="default" r:id="rId11"/>
      <w:pgSz w:w="12240" w:h="15840" w:code="1"/>
      <w:pgMar w:top="1008" w:right="806" w:bottom="1008" w:left="100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711CB" w14:textId="77777777" w:rsidR="00D404A2" w:rsidRDefault="00D404A2" w:rsidP="002641CC">
      <w:r>
        <w:separator/>
      </w:r>
    </w:p>
  </w:endnote>
  <w:endnote w:type="continuationSeparator" w:id="0">
    <w:p w14:paraId="77E1A4A5" w14:textId="77777777" w:rsidR="00D404A2" w:rsidRDefault="00D404A2" w:rsidP="0026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CEB66" w14:textId="77777777" w:rsidR="00D404A2" w:rsidRDefault="00D404A2" w:rsidP="002641CC">
      <w:r>
        <w:separator/>
      </w:r>
    </w:p>
  </w:footnote>
  <w:footnote w:type="continuationSeparator" w:id="0">
    <w:p w14:paraId="0DEE1FF0" w14:textId="77777777" w:rsidR="00D404A2" w:rsidRDefault="00D404A2" w:rsidP="00264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F3E0E" w14:textId="77777777" w:rsidR="002641CC" w:rsidRDefault="002641CC">
    <w:pPr>
      <w:pStyle w:val="Header"/>
      <w:rPr>
        <w:rFonts w:ascii="Calibri" w:hAnsi="Calibri" w:cs="Calibri"/>
        <w:sz w:val="20"/>
        <w:szCs w:val="20"/>
      </w:rPr>
    </w:pPr>
    <w:r w:rsidRPr="002641CC">
      <w:rPr>
        <w:rFonts w:ascii="Calibri" w:hAnsi="Calibri" w:cs="Calibri"/>
        <w:sz w:val="20"/>
        <w:szCs w:val="20"/>
      </w:rPr>
      <w:t xml:space="preserve">Permit Requirements for </w:t>
    </w:r>
    <w:r w:rsidR="007E4BD0">
      <w:rPr>
        <w:rFonts w:ascii="Calibri" w:hAnsi="Calibri" w:cs="Calibri"/>
        <w:sz w:val="20"/>
        <w:szCs w:val="20"/>
      </w:rPr>
      <w:t>Diesel</w:t>
    </w:r>
    <w:r w:rsidR="00AB7840">
      <w:rPr>
        <w:rFonts w:ascii="Calibri" w:hAnsi="Calibri" w:cs="Calibri"/>
        <w:sz w:val="20"/>
        <w:szCs w:val="20"/>
      </w:rPr>
      <w:t xml:space="preserve"> </w:t>
    </w:r>
    <w:r w:rsidR="00A10865" w:rsidRPr="00A10865">
      <w:rPr>
        <w:rFonts w:ascii="Calibri" w:hAnsi="Calibri" w:cs="Calibri"/>
        <w:sz w:val="20"/>
        <w:szCs w:val="20"/>
      </w:rPr>
      <w:t>I</w:t>
    </w:r>
    <w:r w:rsidR="00AB7840" w:rsidRPr="00376908">
      <w:rPr>
        <w:rFonts w:ascii="Calibri" w:hAnsi="Calibri" w:cs="Calibri"/>
        <w:sz w:val="20"/>
        <w:szCs w:val="20"/>
      </w:rPr>
      <w:t>nternal Combustion Engines</w:t>
    </w:r>
  </w:p>
  <w:p w14:paraId="37EC59FB" w14:textId="37C77FA9" w:rsidR="00A10865" w:rsidRDefault="00A10865">
    <w:pPr>
      <w:pStyle w:val="Head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Page </w:t>
    </w:r>
    <w:r w:rsidRPr="00A10865">
      <w:rPr>
        <w:rFonts w:ascii="Calibri" w:hAnsi="Calibri" w:cs="Calibri"/>
        <w:sz w:val="20"/>
        <w:szCs w:val="20"/>
      </w:rPr>
      <w:fldChar w:fldCharType="begin"/>
    </w:r>
    <w:r w:rsidRPr="00A10865">
      <w:rPr>
        <w:rFonts w:ascii="Calibri" w:hAnsi="Calibri" w:cs="Calibri"/>
        <w:sz w:val="20"/>
        <w:szCs w:val="20"/>
      </w:rPr>
      <w:instrText xml:space="preserve"> PAGE   \* MERGEFORMAT </w:instrText>
    </w:r>
    <w:r w:rsidRPr="00A10865">
      <w:rPr>
        <w:rFonts w:ascii="Calibri" w:hAnsi="Calibri" w:cs="Calibri"/>
        <w:sz w:val="20"/>
        <w:szCs w:val="20"/>
      </w:rPr>
      <w:fldChar w:fldCharType="separate"/>
    </w:r>
    <w:r w:rsidR="001B483B">
      <w:rPr>
        <w:rFonts w:ascii="Calibri" w:hAnsi="Calibri" w:cs="Calibri"/>
        <w:noProof/>
        <w:sz w:val="20"/>
        <w:szCs w:val="20"/>
      </w:rPr>
      <w:t>2</w:t>
    </w:r>
    <w:r w:rsidRPr="00A10865">
      <w:rPr>
        <w:rFonts w:ascii="Calibri" w:hAnsi="Calibri" w:cs="Calibri"/>
        <w:noProof/>
        <w:sz w:val="20"/>
        <w:szCs w:val="20"/>
      </w:rPr>
      <w:fldChar w:fldCharType="end"/>
    </w:r>
    <w:r w:rsidR="008F083A">
      <w:rPr>
        <w:rFonts w:ascii="Calibri" w:hAnsi="Calibri" w:cs="Calibri"/>
        <w:noProof/>
        <w:sz w:val="20"/>
        <w:szCs w:val="20"/>
      </w:rPr>
      <w:t xml:space="preserve"> of </w:t>
    </w:r>
    <w:r w:rsidR="008F083A">
      <w:rPr>
        <w:rFonts w:ascii="Calibri" w:hAnsi="Calibri" w:cs="Calibri"/>
        <w:noProof/>
        <w:sz w:val="20"/>
        <w:szCs w:val="20"/>
      </w:rPr>
      <w:fldChar w:fldCharType="begin"/>
    </w:r>
    <w:r w:rsidR="008F083A">
      <w:rPr>
        <w:rFonts w:ascii="Calibri" w:hAnsi="Calibri" w:cs="Calibri"/>
        <w:noProof/>
        <w:sz w:val="20"/>
        <w:szCs w:val="20"/>
      </w:rPr>
      <w:instrText xml:space="preserve"> NUMPAGES   \* MERGEFORMAT </w:instrText>
    </w:r>
    <w:r w:rsidR="008F083A">
      <w:rPr>
        <w:rFonts w:ascii="Calibri" w:hAnsi="Calibri" w:cs="Calibri"/>
        <w:noProof/>
        <w:sz w:val="20"/>
        <w:szCs w:val="20"/>
      </w:rPr>
      <w:fldChar w:fldCharType="separate"/>
    </w:r>
    <w:r w:rsidR="001B483B">
      <w:rPr>
        <w:rFonts w:ascii="Calibri" w:hAnsi="Calibri" w:cs="Calibri"/>
        <w:noProof/>
        <w:sz w:val="20"/>
        <w:szCs w:val="20"/>
      </w:rPr>
      <w:t>3</w:t>
    </w:r>
    <w:r w:rsidR="008F083A">
      <w:rPr>
        <w:rFonts w:ascii="Calibri" w:hAnsi="Calibri" w:cs="Calibri"/>
        <w:noProof/>
        <w:sz w:val="20"/>
        <w:szCs w:val="20"/>
      </w:rPr>
      <w:fldChar w:fldCharType="end"/>
    </w:r>
  </w:p>
  <w:p w14:paraId="0144C32F" w14:textId="77777777" w:rsidR="00A10865" w:rsidRPr="002641CC" w:rsidRDefault="00A10865">
    <w:pPr>
      <w:pStyle w:val="Head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2CF"/>
    <w:multiLevelType w:val="hybridMultilevel"/>
    <w:tmpl w:val="3E444B12"/>
    <w:lvl w:ilvl="0" w:tplc="71F67D0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E1B2A59"/>
    <w:multiLevelType w:val="hybridMultilevel"/>
    <w:tmpl w:val="BE6A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8B7"/>
    <w:multiLevelType w:val="hybridMultilevel"/>
    <w:tmpl w:val="D4E01BA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C33F3"/>
    <w:multiLevelType w:val="hybridMultilevel"/>
    <w:tmpl w:val="EBB4F49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20884"/>
    <w:multiLevelType w:val="hybridMultilevel"/>
    <w:tmpl w:val="C4CA1AA6"/>
    <w:lvl w:ilvl="0" w:tplc="D2AEE1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41780"/>
    <w:multiLevelType w:val="hybridMultilevel"/>
    <w:tmpl w:val="8B966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302BC"/>
    <w:multiLevelType w:val="hybridMultilevel"/>
    <w:tmpl w:val="B898386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30961"/>
    <w:multiLevelType w:val="hybridMultilevel"/>
    <w:tmpl w:val="BFA84A6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D7F5C"/>
    <w:multiLevelType w:val="hybridMultilevel"/>
    <w:tmpl w:val="A684C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5503DD"/>
    <w:multiLevelType w:val="hybridMultilevel"/>
    <w:tmpl w:val="CE3A2F46"/>
    <w:lvl w:ilvl="0" w:tplc="0B306B8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90273"/>
    <w:multiLevelType w:val="hybridMultilevel"/>
    <w:tmpl w:val="ABA8D0E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1EB6B"/>
    <w:multiLevelType w:val="hybridMultilevel"/>
    <w:tmpl w:val="2F049FF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CA"/>
    <w:rsid w:val="000057D9"/>
    <w:rsid w:val="00031320"/>
    <w:rsid w:val="0004237C"/>
    <w:rsid w:val="000534AB"/>
    <w:rsid w:val="00054C0E"/>
    <w:rsid w:val="000640AE"/>
    <w:rsid w:val="000A6AA4"/>
    <w:rsid w:val="000C1C54"/>
    <w:rsid w:val="000E0F07"/>
    <w:rsid w:val="00131DA1"/>
    <w:rsid w:val="00136314"/>
    <w:rsid w:val="0015477A"/>
    <w:rsid w:val="001629ED"/>
    <w:rsid w:val="00163BC4"/>
    <w:rsid w:val="00166CFE"/>
    <w:rsid w:val="00172935"/>
    <w:rsid w:val="00175501"/>
    <w:rsid w:val="00180192"/>
    <w:rsid w:val="00186ADC"/>
    <w:rsid w:val="00190C75"/>
    <w:rsid w:val="001A271D"/>
    <w:rsid w:val="001B146F"/>
    <w:rsid w:val="001B483B"/>
    <w:rsid w:val="001C0609"/>
    <w:rsid w:val="001D06ED"/>
    <w:rsid w:val="001E0A01"/>
    <w:rsid w:val="001E619D"/>
    <w:rsid w:val="001F6417"/>
    <w:rsid w:val="00202A65"/>
    <w:rsid w:val="002164D5"/>
    <w:rsid w:val="00220E10"/>
    <w:rsid w:val="00230CA4"/>
    <w:rsid w:val="002313D8"/>
    <w:rsid w:val="00240F35"/>
    <w:rsid w:val="002432C9"/>
    <w:rsid w:val="0024423E"/>
    <w:rsid w:val="0024719A"/>
    <w:rsid w:val="00250791"/>
    <w:rsid w:val="002641CC"/>
    <w:rsid w:val="00266B93"/>
    <w:rsid w:val="00270D52"/>
    <w:rsid w:val="00275F75"/>
    <w:rsid w:val="002F1754"/>
    <w:rsid w:val="00306AF8"/>
    <w:rsid w:val="00317E9A"/>
    <w:rsid w:val="0032209C"/>
    <w:rsid w:val="00322788"/>
    <w:rsid w:val="0036738B"/>
    <w:rsid w:val="00376908"/>
    <w:rsid w:val="003771C1"/>
    <w:rsid w:val="00382F0E"/>
    <w:rsid w:val="003844F2"/>
    <w:rsid w:val="003B61D4"/>
    <w:rsid w:val="003D1132"/>
    <w:rsid w:val="003D23D7"/>
    <w:rsid w:val="003D3581"/>
    <w:rsid w:val="003D5230"/>
    <w:rsid w:val="003E4CCE"/>
    <w:rsid w:val="003F0555"/>
    <w:rsid w:val="003F388B"/>
    <w:rsid w:val="004140DF"/>
    <w:rsid w:val="004308BC"/>
    <w:rsid w:val="00432855"/>
    <w:rsid w:val="00464307"/>
    <w:rsid w:val="00483441"/>
    <w:rsid w:val="004A0A03"/>
    <w:rsid w:val="004A6D07"/>
    <w:rsid w:val="004C49FF"/>
    <w:rsid w:val="004C60E5"/>
    <w:rsid w:val="004D24A7"/>
    <w:rsid w:val="004D3A8A"/>
    <w:rsid w:val="00514F83"/>
    <w:rsid w:val="0054141B"/>
    <w:rsid w:val="00546332"/>
    <w:rsid w:val="005568CE"/>
    <w:rsid w:val="00561C3C"/>
    <w:rsid w:val="00580C84"/>
    <w:rsid w:val="0058572F"/>
    <w:rsid w:val="005B4C75"/>
    <w:rsid w:val="005C1357"/>
    <w:rsid w:val="005C539C"/>
    <w:rsid w:val="005C5D82"/>
    <w:rsid w:val="005C61AE"/>
    <w:rsid w:val="005C7586"/>
    <w:rsid w:val="006124FF"/>
    <w:rsid w:val="006136A6"/>
    <w:rsid w:val="00633D9A"/>
    <w:rsid w:val="006378CA"/>
    <w:rsid w:val="006434FC"/>
    <w:rsid w:val="00645554"/>
    <w:rsid w:val="00653EBA"/>
    <w:rsid w:val="006721F4"/>
    <w:rsid w:val="006755D0"/>
    <w:rsid w:val="00676E48"/>
    <w:rsid w:val="00684819"/>
    <w:rsid w:val="00690579"/>
    <w:rsid w:val="00697BD7"/>
    <w:rsid w:val="006B76A0"/>
    <w:rsid w:val="006C0DC9"/>
    <w:rsid w:val="006C4298"/>
    <w:rsid w:val="00704042"/>
    <w:rsid w:val="0070710B"/>
    <w:rsid w:val="00707DEC"/>
    <w:rsid w:val="00715988"/>
    <w:rsid w:val="007178D5"/>
    <w:rsid w:val="0072287B"/>
    <w:rsid w:val="00762541"/>
    <w:rsid w:val="00776902"/>
    <w:rsid w:val="007778DF"/>
    <w:rsid w:val="007B79D3"/>
    <w:rsid w:val="007E4BD0"/>
    <w:rsid w:val="0080552A"/>
    <w:rsid w:val="00812525"/>
    <w:rsid w:val="00823668"/>
    <w:rsid w:val="00823BA7"/>
    <w:rsid w:val="00836D50"/>
    <w:rsid w:val="00837C43"/>
    <w:rsid w:val="00841EC2"/>
    <w:rsid w:val="008547D3"/>
    <w:rsid w:val="00870ACD"/>
    <w:rsid w:val="008C03E9"/>
    <w:rsid w:val="008C1484"/>
    <w:rsid w:val="008C6F49"/>
    <w:rsid w:val="008E7B72"/>
    <w:rsid w:val="008E7F5F"/>
    <w:rsid w:val="008F083A"/>
    <w:rsid w:val="008F1CFF"/>
    <w:rsid w:val="008F5833"/>
    <w:rsid w:val="00915BBE"/>
    <w:rsid w:val="00930830"/>
    <w:rsid w:val="00931C13"/>
    <w:rsid w:val="00955958"/>
    <w:rsid w:val="0095634F"/>
    <w:rsid w:val="00966959"/>
    <w:rsid w:val="00991E01"/>
    <w:rsid w:val="009A07B7"/>
    <w:rsid w:val="009A2FA3"/>
    <w:rsid w:val="009B1C51"/>
    <w:rsid w:val="009B24B1"/>
    <w:rsid w:val="009B760B"/>
    <w:rsid w:val="009D6DA5"/>
    <w:rsid w:val="009E6207"/>
    <w:rsid w:val="009F4813"/>
    <w:rsid w:val="00A05C15"/>
    <w:rsid w:val="00A10865"/>
    <w:rsid w:val="00A123D0"/>
    <w:rsid w:val="00A15F78"/>
    <w:rsid w:val="00A233A1"/>
    <w:rsid w:val="00A95581"/>
    <w:rsid w:val="00AB3846"/>
    <w:rsid w:val="00AB7840"/>
    <w:rsid w:val="00AB7905"/>
    <w:rsid w:val="00AC4AD8"/>
    <w:rsid w:val="00B220AA"/>
    <w:rsid w:val="00B27717"/>
    <w:rsid w:val="00B372DB"/>
    <w:rsid w:val="00B47BE9"/>
    <w:rsid w:val="00B517E0"/>
    <w:rsid w:val="00B535C9"/>
    <w:rsid w:val="00B600DE"/>
    <w:rsid w:val="00B622D8"/>
    <w:rsid w:val="00B654B8"/>
    <w:rsid w:val="00B72FC0"/>
    <w:rsid w:val="00B8059A"/>
    <w:rsid w:val="00B94DD9"/>
    <w:rsid w:val="00BD652F"/>
    <w:rsid w:val="00BE77B9"/>
    <w:rsid w:val="00BF0EF6"/>
    <w:rsid w:val="00BF24D2"/>
    <w:rsid w:val="00BF2B23"/>
    <w:rsid w:val="00BF652F"/>
    <w:rsid w:val="00C00E43"/>
    <w:rsid w:val="00C028C3"/>
    <w:rsid w:val="00C0641B"/>
    <w:rsid w:val="00C11D9C"/>
    <w:rsid w:val="00C137C8"/>
    <w:rsid w:val="00C31856"/>
    <w:rsid w:val="00C4745A"/>
    <w:rsid w:val="00C713B9"/>
    <w:rsid w:val="00C75E17"/>
    <w:rsid w:val="00C856DC"/>
    <w:rsid w:val="00CA280D"/>
    <w:rsid w:val="00CB549B"/>
    <w:rsid w:val="00CD49FA"/>
    <w:rsid w:val="00CE1EF5"/>
    <w:rsid w:val="00CE5BC5"/>
    <w:rsid w:val="00CF015C"/>
    <w:rsid w:val="00D05485"/>
    <w:rsid w:val="00D364B7"/>
    <w:rsid w:val="00D404A2"/>
    <w:rsid w:val="00D459D3"/>
    <w:rsid w:val="00D562EE"/>
    <w:rsid w:val="00D67442"/>
    <w:rsid w:val="00D818F7"/>
    <w:rsid w:val="00D93FCF"/>
    <w:rsid w:val="00D97D3C"/>
    <w:rsid w:val="00DA3B83"/>
    <w:rsid w:val="00DA774C"/>
    <w:rsid w:val="00DB0D6E"/>
    <w:rsid w:val="00DB0DC0"/>
    <w:rsid w:val="00DC1575"/>
    <w:rsid w:val="00DC45BA"/>
    <w:rsid w:val="00DD0B6F"/>
    <w:rsid w:val="00DD470B"/>
    <w:rsid w:val="00DE1B16"/>
    <w:rsid w:val="00DE219D"/>
    <w:rsid w:val="00DE765B"/>
    <w:rsid w:val="00DF4261"/>
    <w:rsid w:val="00E02514"/>
    <w:rsid w:val="00E03223"/>
    <w:rsid w:val="00E0395D"/>
    <w:rsid w:val="00E20C4B"/>
    <w:rsid w:val="00E47160"/>
    <w:rsid w:val="00E56473"/>
    <w:rsid w:val="00E74A24"/>
    <w:rsid w:val="00E80358"/>
    <w:rsid w:val="00E841F7"/>
    <w:rsid w:val="00E845E0"/>
    <w:rsid w:val="00E87802"/>
    <w:rsid w:val="00E9432E"/>
    <w:rsid w:val="00E95278"/>
    <w:rsid w:val="00EA2455"/>
    <w:rsid w:val="00EA3AEB"/>
    <w:rsid w:val="00EA4FA9"/>
    <w:rsid w:val="00EC2A94"/>
    <w:rsid w:val="00EE2CED"/>
    <w:rsid w:val="00EE6F5F"/>
    <w:rsid w:val="00EF367B"/>
    <w:rsid w:val="00EF7B61"/>
    <w:rsid w:val="00F13084"/>
    <w:rsid w:val="00F15524"/>
    <w:rsid w:val="00F210A6"/>
    <w:rsid w:val="00F37A8A"/>
    <w:rsid w:val="00F408AE"/>
    <w:rsid w:val="00F5300C"/>
    <w:rsid w:val="00F64A2D"/>
    <w:rsid w:val="00F7155F"/>
    <w:rsid w:val="00F7673B"/>
    <w:rsid w:val="00F80B1F"/>
    <w:rsid w:val="00F82F80"/>
    <w:rsid w:val="00F93199"/>
    <w:rsid w:val="00FA10C9"/>
    <w:rsid w:val="00FD0373"/>
    <w:rsid w:val="00FD677C"/>
    <w:rsid w:val="00FE12E4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EE9D044"/>
  <w15:chartTrackingRefBased/>
  <w15:docId w15:val="{28626C0C-D75D-43E3-BCB9-14FAB296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322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F1754"/>
    <w:pPr>
      <w:ind w:left="720"/>
    </w:pPr>
  </w:style>
  <w:style w:type="paragraph" w:styleId="Header">
    <w:name w:val="header"/>
    <w:basedOn w:val="Normal"/>
    <w:link w:val="HeaderChar"/>
    <w:rsid w:val="002641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41C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41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41CC"/>
    <w:rPr>
      <w:sz w:val="24"/>
      <w:szCs w:val="24"/>
    </w:rPr>
  </w:style>
  <w:style w:type="paragraph" w:styleId="BalloonText">
    <w:name w:val="Balloon Text"/>
    <w:basedOn w:val="Normal"/>
    <w:link w:val="BalloonTextChar"/>
    <w:rsid w:val="00777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78DF"/>
    <w:rPr>
      <w:rFonts w:ascii="Tahoma" w:hAnsi="Tahoma" w:cs="Tahoma"/>
      <w:sz w:val="16"/>
      <w:szCs w:val="16"/>
    </w:rPr>
  </w:style>
  <w:style w:type="character" w:styleId="Hyperlink">
    <w:name w:val="Hyperlink"/>
    <w:rsid w:val="00C137C8"/>
    <w:rPr>
      <w:color w:val="0000FF"/>
      <w:u w:val="single"/>
    </w:rPr>
  </w:style>
  <w:style w:type="character" w:styleId="FollowedHyperlink">
    <w:name w:val="FollowedHyperlink"/>
    <w:rsid w:val="00DF4261"/>
    <w:rPr>
      <w:color w:val="954F72"/>
      <w:u w:val="single"/>
    </w:rPr>
  </w:style>
  <w:style w:type="paragraph" w:styleId="Caption">
    <w:name w:val="caption"/>
    <w:basedOn w:val="Normal"/>
    <w:next w:val="Normal"/>
    <w:unhideWhenUsed/>
    <w:qFormat/>
    <w:rsid w:val="00C75E17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rsid w:val="00A05C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5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5C15"/>
  </w:style>
  <w:style w:type="paragraph" w:styleId="CommentSubject">
    <w:name w:val="annotation subject"/>
    <w:basedOn w:val="CommentText"/>
    <w:next w:val="CommentText"/>
    <w:link w:val="CommentSubjectChar"/>
    <w:rsid w:val="00A05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5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rb.ca.gov/drdb/mbu/curhtml/R20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bard.specialdistrict.org/agricultural-ag-engine-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7472F-89FA-4C8E-87E4-6E11B5C0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Clarification of Permit Requirements for CI Engines_06.08.2019</vt:lpstr>
    </vt:vector>
  </TitlesOfParts>
  <Manager>Mary Giraudo</Manager>
  <Company>MBARD</Company>
  <LinksUpToDate>false</LinksUpToDate>
  <CharactersWithSpaces>7157</CharactersWithSpaces>
  <SharedDoc>false</SharedDoc>
  <HLinks>
    <vt:vector size="6" baseType="variant">
      <vt:variant>
        <vt:i4>4849735</vt:i4>
      </vt:variant>
      <vt:variant>
        <vt:i4>0</vt:i4>
      </vt:variant>
      <vt:variant>
        <vt:i4>0</vt:i4>
      </vt:variant>
      <vt:variant>
        <vt:i4>5</vt:i4>
      </vt:variant>
      <vt:variant>
        <vt:lpwstr>https://www.arb.ca.gov/drdb/mbu/curhtml/R207.PDF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Clarification of Permit Requirements for CI Engines_06.08.2019</dc:title>
  <dc:subject>Clarification of Permit Requirements for CI Engines</dc:subject>
  <dc:creator>Armando Jimenez</dc:creator>
  <cp:keywords>Compression Ignition Engines;Diesel Engines;Clarification of Permit Requirements</cp:keywords>
  <cp:lastModifiedBy>Mary Giraudo</cp:lastModifiedBy>
  <cp:revision>3</cp:revision>
  <cp:lastPrinted>2018-04-23T15:11:00Z</cp:lastPrinted>
  <dcterms:created xsi:type="dcterms:W3CDTF">2019-05-09T23:24:00Z</dcterms:created>
  <dcterms:modified xsi:type="dcterms:W3CDTF">2019-05-09T23:24:00Z</dcterms:modified>
</cp:coreProperties>
</file>